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27"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Washington, D.C. 20549</w:t>
      </w:r>
    </w:p>
    <w:p>
      <w:pPr>
        <w:spacing w:after="0" w:line="202"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SCHEDULE 13G</w:t>
      </w:r>
    </w:p>
    <w:p>
      <w:pPr>
        <w:spacing w:after="0" w:line="230"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Under the Securities Exchange Act of 1934</w:t>
      </w:r>
    </w:p>
    <w:p>
      <w:pPr>
        <w:spacing w:after="0" w:line="225" w:lineRule="exact"/>
        <w:rPr>
          <w:sz w:val="24"/>
          <w:szCs w:val="24"/>
          <w:color w:val="auto"/>
        </w:rPr>
      </w:pPr>
    </w:p>
    <w:p>
      <w:pPr>
        <w:ind w:left="4440"/>
        <w:spacing w:after="0"/>
        <w:tabs>
          <w:tab w:leader="none" w:pos="6600" w:val="left"/>
        </w:tabs>
        <w:rPr>
          <w:sz w:val="20"/>
          <w:szCs w:val="20"/>
          <w:color w:val="auto"/>
        </w:rPr>
      </w:pPr>
      <w:r>
        <w:rPr>
          <w:rFonts w:ascii="Arial" w:cs="Arial" w:eastAsia="Arial" w:hAnsi="Arial"/>
          <w:sz w:val="18"/>
          <w:szCs w:val="18"/>
          <w:b w:val="1"/>
          <w:bCs w:val="1"/>
          <w:color w:val="auto"/>
        </w:rPr>
        <w:t>(Amendment No.  21</w:t>
      </w:r>
      <w:r>
        <w:rPr>
          <w:sz w:val="20"/>
          <w:szCs w:val="20"/>
          <w:color w:val="auto"/>
        </w:rPr>
        <w:tab/>
      </w:r>
      <w:r>
        <w:rPr>
          <w:rFonts w:ascii="Arial" w:cs="Arial" w:eastAsia="Arial" w:hAnsi="Arial"/>
          <w:sz w:val="17"/>
          <w:szCs w:val="17"/>
          <w:b w:val="1"/>
          <w:bCs w:val="1"/>
          <w:color w:val="auto"/>
        </w:rPr>
        <w:t>) *</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3685540</wp:posOffset>
            </wp:positionH>
            <wp:positionV relativeFrom="paragraph">
              <wp:posOffset>-7620</wp:posOffset>
            </wp:positionV>
            <wp:extent cx="51435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14350" cy="8255"/>
                    </a:xfrm>
                    <a:prstGeom prst="rect">
                      <a:avLst/>
                    </a:prstGeom>
                    <a:noFill/>
                  </pic:spPr>
                </pic:pic>
              </a:graphicData>
            </a:graphic>
          </wp:anchor>
        </w:drawing>
      </w:r>
    </w:p>
    <w:p>
      <w:pPr>
        <w:spacing w:after="0" w:line="200"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13232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(Name of Issuer)</w:t>
      </w:r>
    </w:p>
    <w:p>
      <w:pPr>
        <w:spacing w:after="0" w:line="212"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E Shares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7"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(Title of Class of Securities)</w:t>
      </w:r>
    </w:p>
    <w:p>
      <w:pPr>
        <w:spacing w:after="0" w:line="220"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P16994132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2508250</wp:posOffset>
            </wp:positionH>
            <wp:positionV relativeFrom="paragraph">
              <wp:posOffset>17145</wp:posOffset>
            </wp:positionV>
            <wp:extent cx="2134235"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134235" cy="8890"/>
                    </a:xfrm>
                    <a:prstGeom prst="rect">
                      <a:avLst/>
                    </a:prstGeom>
                    <a:noFill/>
                  </pic:spPr>
                </pic:pic>
              </a:graphicData>
            </a:graphic>
          </wp:anchor>
        </w:drawing>
      </w:r>
    </w:p>
    <w:p>
      <w:pPr>
        <w:spacing w:after="0" w:line="7"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(CUSIP Number)</w:t>
      </w:r>
    </w:p>
    <w:p>
      <w:pPr>
        <w:spacing w:after="0" w:line="224"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December 31, 2020</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(Date of Event Which Requires Filing of this Statement)</w:t>
      </w:r>
    </w:p>
    <w:p>
      <w:pPr>
        <w:spacing w:after="0" w:line="224" w:lineRule="exact"/>
        <w:rPr>
          <w:sz w:val="24"/>
          <w:szCs w:val="24"/>
          <w:color w:val="auto"/>
        </w:rPr>
      </w:pPr>
    </w:p>
    <w:p>
      <w:pPr>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225" w:lineRule="exact"/>
        <w:rPr>
          <w:sz w:val="24"/>
          <w:szCs w:val="24"/>
          <w:color w:val="auto"/>
        </w:rPr>
      </w:pPr>
    </w:p>
    <w:p>
      <w:pPr>
        <w:ind w:left="660" w:hanging="328"/>
        <w:spacing w:after="0"/>
        <w:tabs>
          <w:tab w:leader="none" w:pos="660"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13d-1(b)</w:t>
      </w:r>
    </w:p>
    <w:p>
      <w:pPr>
        <w:spacing w:after="0" w:line="225" w:lineRule="exact"/>
        <w:rPr>
          <w:sz w:val="24"/>
          <w:szCs w:val="24"/>
          <w:color w:val="auto"/>
        </w:rPr>
      </w:pPr>
    </w:p>
    <w:p>
      <w:pPr>
        <w:ind w:left="660" w:hanging="328"/>
        <w:spacing w:after="0"/>
        <w:tabs>
          <w:tab w:leader="none" w:pos="66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13d-1(c)</w:t>
      </w:r>
    </w:p>
    <w:p>
      <w:pPr>
        <w:spacing w:after="0" w:line="225" w:lineRule="exact"/>
        <w:rPr>
          <w:rFonts w:ascii="MS PGothic" w:cs="MS PGothic" w:eastAsia="MS PGothic" w:hAnsi="MS PGothic"/>
          <w:sz w:val="18"/>
          <w:szCs w:val="18"/>
          <w:color w:val="auto"/>
        </w:rPr>
      </w:pPr>
    </w:p>
    <w:p>
      <w:pPr>
        <w:ind w:left="660" w:hanging="328"/>
        <w:spacing w:after="0"/>
        <w:tabs>
          <w:tab w:leader="none" w:pos="66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13d-1(d)</w:t>
      </w:r>
    </w:p>
    <w:p>
      <w:pPr>
        <w:spacing w:after="0" w:line="225" w:lineRule="exact"/>
        <w:rPr>
          <w:rFonts w:ascii="MS PGothic" w:cs="MS PGothic" w:eastAsia="MS PGothic" w:hAnsi="MS PGothic"/>
          <w:sz w:val="18"/>
          <w:szCs w:val="18"/>
          <w:color w:val="auto"/>
        </w:rPr>
      </w:pPr>
    </w:p>
    <w:p>
      <w:pPr>
        <w:spacing w:after="0" w:line="277" w:lineRule="auto"/>
        <w:rPr>
          <w:rFonts w:ascii="MS PGothic" w:cs="MS PGothic" w:eastAsia="MS PGothic" w:hAnsi="MS PGothic"/>
          <w:sz w:val="18"/>
          <w:szCs w:val="18"/>
          <w:color w:val="auto"/>
        </w:rPr>
      </w:pPr>
      <w:r>
        <w:rPr>
          <w:rFonts w:ascii="Arial" w:cs="Arial" w:eastAsia="Arial" w:hAnsi="Arial"/>
          <w:sz w:val="18"/>
          <w:szCs w:val="18"/>
          <w:color w:val="auto"/>
        </w:rPr>
        <w:t>* 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70" w:lineRule="exact"/>
        <w:rPr>
          <w:sz w:val="24"/>
          <w:szCs w:val="24"/>
          <w:color w:val="auto"/>
        </w:rPr>
      </w:pPr>
    </w:p>
    <w:p>
      <w:pPr>
        <w:jc w:val="both"/>
        <w:spacing w:after="0" w:line="263" w:lineRule="auto"/>
        <w:rPr>
          <w:sz w:val="20"/>
          <w:szCs w:val="20"/>
          <w:color w:val="auto"/>
        </w:rPr>
      </w:pPr>
      <w:r>
        <w:rPr>
          <w:rFonts w:ascii="Arial" w:cs="Arial" w:eastAsia="Arial" w:hAnsi="Arial"/>
          <w:sz w:val="18"/>
          <w:szCs w:val="18"/>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184" w:lineRule="exact"/>
        <w:rPr>
          <w:sz w:val="24"/>
          <w:szCs w:val="24"/>
          <w:color w:val="auto"/>
        </w:rPr>
      </w:pPr>
    </w:p>
    <w:p>
      <w:pPr>
        <w:spacing w:after="0"/>
        <w:rPr>
          <w:sz w:val="20"/>
          <w:szCs w:val="20"/>
          <w:color w:val="auto"/>
        </w:rPr>
      </w:pPr>
      <w:r>
        <w:rPr>
          <w:rFonts w:ascii="Arial" w:cs="Arial" w:eastAsia="Arial" w:hAnsi="Arial"/>
          <w:sz w:val="18"/>
          <w:szCs w:val="18"/>
          <w:color w:val="auto"/>
        </w:rPr>
        <w:t>SEC 1745 (3-98)</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151765</wp:posOffset>
            </wp:positionV>
            <wp:extent cx="713232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168910</wp:posOffset>
            </wp:positionV>
            <wp:extent cx="7132320" cy="260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623570</wp:posOffset>
            </wp:positionV>
            <wp:extent cx="71323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02" w:right="339" w:bottom="1440" w:gutter="0" w:footer="0" w:header="0"/>
        </w:sectPr>
      </w:pPr>
    </w:p>
    <w:bookmarkStart w:id="1" w:name="page2"/>
    <w:bookmarkEnd w:id="1"/>
    <w:p>
      <w:pPr>
        <w:jc w:val="right"/>
        <w:spacing w:after="0"/>
        <w:rPr>
          <w:sz w:val="20"/>
          <w:szCs w:val="20"/>
          <w:color w:val="auto"/>
        </w:rPr>
      </w:pPr>
      <w:r>
        <w:rPr>
          <w:rFonts w:ascii="Arial" w:cs="Arial" w:eastAsia="Arial" w:hAnsi="Arial"/>
          <w:sz w:val="18"/>
          <w:szCs w:val="18"/>
          <w:color w:val="auto"/>
        </w:rPr>
        <w:t>Page 2 of 12</w:t>
      </w:r>
    </w:p>
    <w:p>
      <w:pPr>
        <w:spacing w:after="0" w:line="248"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20" w:type="dxa"/>
            <w:vAlign w:val="bottom"/>
          </w:tcPr>
          <w:p>
            <w:pPr>
              <w:jc w:val="right"/>
              <w:ind w:right="110"/>
              <w:spacing w:after="0"/>
              <w:rPr>
                <w:sz w:val="20"/>
                <w:szCs w:val="20"/>
                <w:color w:val="auto"/>
              </w:rPr>
            </w:pPr>
            <w:r>
              <w:rPr>
                <w:rFonts w:ascii="Arial" w:cs="Arial" w:eastAsia="Arial" w:hAnsi="Arial"/>
                <w:sz w:val="18"/>
                <w:szCs w:val="18"/>
                <w:color w:val="auto"/>
                <w:w w:val="90"/>
              </w:rPr>
              <w:t>CUSIP No.</w:t>
            </w:r>
          </w:p>
        </w:tc>
        <w:tc>
          <w:tcPr>
            <w:tcW w:w="3260" w:type="dxa"/>
            <w:vAlign w:val="bottom"/>
          </w:tcPr>
          <w:p>
            <w:pPr>
              <w:ind w:left="680"/>
              <w:spacing w:after="0"/>
              <w:rPr>
                <w:sz w:val="20"/>
                <w:szCs w:val="20"/>
                <w:color w:val="auto"/>
              </w:rPr>
            </w:pPr>
            <w:r>
              <w:rPr>
                <w:rFonts w:ascii="Arial" w:cs="Arial" w:eastAsia="Arial" w:hAnsi="Arial"/>
                <w:sz w:val="18"/>
                <w:szCs w:val="18"/>
                <w:b w:val="1"/>
                <w:bCs w:val="1"/>
                <w:color w:val="auto"/>
              </w:rPr>
              <w:t>P16994132</w:t>
            </w:r>
          </w:p>
        </w:tc>
        <w:tc>
          <w:tcPr>
            <w:tcW w:w="1240" w:type="dxa"/>
            <w:vAlign w:val="bottom"/>
          </w:tcPr>
          <w:p>
            <w:pPr>
              <w:spacing w:after="0"/>
              <w:rPr>
                <w:sz w:val="20"/>
                <w:szCs w:val="20"/>
                <w:color w:val="auto"/>
              </w:rPr>
            </w:pPr>
          </w:p>
        </w:tc>
        <w:tc>
          <w:tcPr>
            <w:tcW w:w="5720" w:type="dxa"/>
            <w:vAlign w:val="bottom"/>
          </w:tcPr>
          <w:p>
            <w:pPr>
              <w:spacing w:after="0"/>
              <w:rPr>
                <w:sz w:val="20"/>
                <w:szCs w:val="20"/>
                <w:color w:val="auto"/>
              </w:rPr>
            </w:pPr>
          </w:p>
        </w:tc>
      </w:tr>
      <w:tr>
        <w:trPr>
          <w:trHeight w:val="243"/>
        </w:trPr>
        <w:tc>
          <w:tcPr>
            <w:tcW w:w="1020" w:type="dxa"/>
            <w:vAlign w:val="bottom"/>
            <w:tcBorders>
              <w:bottom w:val="single" w:sz="8" w:color="auto"/>
            </w:tcBorders>
          </w:tcPr>
          <w:p>
            <w:pPr>
              <w:spacing w:after="0"/>
              <w:rPr>
                <w:sz w:val="21"/>
                <w:szCs w:val="21"/>
                <w:color w:val="auto"/>
              </w:rPr>
            </w:pPr>
          </w:p>
        </w:tc>
        <w:tc>
          <w:tcPr>
            <w:tcW w:w="3260" w:type="dxa"/>
            <w:vAlign w:val="bottom"/>
            <w:tcBorders>
              <w:bottom w:val="single" w:sz="8" w:color="auto"/>
            </w:tcBorders>
          </w:tcPr>
          <w:p>
            <w:pPr>
              <w:spacing w:after="0"/>
              <w:rPr>
                <w:sz w:val="21"/>
                <w:szCs w:val="21"/>
                <w:color w:val="auto"/>
              </w:rPr>
            </w:pPr>
          </w:p>
        </w:tc>
        <w:tc>
          <w:tcPr>
            <w:tcW w:w="6960" w:type="dxa"/>
            <w:vAlign w:val="bottom"/>
            <w:tcBorders>
              <w:bottom w:val="single" w:sz="8" w:color="auto"/>
            </w:tcBorders>
            <w:gridSpan w:val="2"/>
          </w:tcPr>
          <w:p>
            <w:pPr>
              <w:spacing w:after="0"/>
              <w:rPr>
                <w:sz w:val="21"/>
                <w:szCs w:val="21"/>
                <w:color w:val="auto"/>
              </w:rPr>
            </w:pPr>
          </w:p>
        </w:tc>
      </w:tr>
      <w:tr>
        <w:trPr>
          <w:trHeight w:val="263"/>
        </w:trPr>
        <w:tc>
          <w:tcPr>
            <w:tcW w:w="1020" w:type="dxa"/>
            <w:vAlign w:val="bottom"/>
          </w:tcPr>
          <w:p>
            <w:pPr>
              <w:jc w:val="right"/>
              <w:ind w:right="30"/>
              <w:spacing w:after="0"/>
              <w:rPr>
                <w:sz w:val="20"/>
                <w:szCs w:val="20"/>
                <w:color w:val="auto"/>
              </w:rPr>
            </w:pPr>
            <w:r>
              <w:rPr>
                <w:rFonts w:ascii="Arial" w:cs="Arial" w:eastAsia="Arial" w:hAnsi="Arial"/>
                <w:sz w:val="18"/>
                <w:szCs w:val="18"/>
                <w:color w:val="auto"/>
              </w:rPr>
              <w:t>1.</w:t>
            </w:r>
          </w:p>
        </w:tc>
        <w:tc>
          <w:tcPr>
            <w:tcW w:w="3260" w:type="dxa"/>
            <w:vAlign w:val="bottom"/>
          </w:tcPr>
          <w:p>
            <w:pPr>
              <w:ind w:left="120"/>
              <w:spacing w:after="0"/>
              <w:rPr>
                <w:sz w:val="20"/>
                <w:szCs w:val="20"/>
                <w:color w:val="auto"/>
              </w:rPr>
            </w:pPr>
            <w:r>
              <w:rPr>
                <w:rFonts w:ascii="Arial" w:cs="Arial" w:eastAsia="Arial" w:hAnsi="Arial"/>
                <w:sz w:val="18"/>
                <w:szCs w:val="18"/>
                <w:color w:val="auto"/>
              </w:rPr>
              <w:t>Names of Reporting Persons.</w:t>
            </w:r>
          </w:p>
        </w:tc>
        <w:tc>
          <w:tcPr>
            <w:tcW w:w="6960" w:type="dxa"/>
            <w:vAlign w:val="bottom"/>
            <w:gridSpan w:val="2"/>
          </w:tcPr>
          <w:p>
            <w:pPr>
              <w:jc w:val="right"/>
              <w:ind w:right="3410"/>
              <w:spacing w:after="0"/>
              <w:rPr>
                <w:sz w:val="20"/>
                <w:szCs w:val="20"/>
                <w:color w:val="auto"/>
              </w:rPr>
            </w:pPr>
            <w:r>
              <w:rPr>
                <w:rFonts w:ascii="Arial" w:cs="Arial" w:eastAsia="Arial" w:hAnsi="Arial"/>
                <w:sz w:val="18"/>
                <w:szCs w:val="18"/>
                <w:color w:val="auto"/>
              </w:rPr>
              <w:t>Brandes Investment Partners, L.P.</w:t>
            </w:r>
          </w:p>
        </w:tc>
      </w:tr>
      <w:tr>
        <w:trPr>
          <w:trHeight w:val="230"/>
        </w:trPr>
        <w:tc>
          <w:tcPr>
            <w:tcW w:w="1020" w:type="dxa"/>
            <w:vAlign w:val="bottom"/>
          </w:tcPr>
          <w:p>
            <w:pPr>
              <w:spacing w:after="0"/>
              <w:rPr>
                <w:sz w:val="20"/>
                <w:szCs w:val="20"/>
                <w:color w:val="auto"/>
              </w:rPr>
            </w:pPr>
          </w:p>
        </w:tc>
        <w:tc>
          <w:tcPr>
            <w:tcW w:w="4500" w:type="dxa"/>
            <w:vAlign w:val="bottom"/>
            <w:gridSpan w:val="2"/>
          </w:tcPr>
          <w:p>
            <w:pPr>
              <w:ind w:left="120"/>
              <w:spacing w:after="0"/>
              <w:rPr>
                <w:sz w:val="20"/>
                <w:szCs w:val="20"/>
                <w:color w:val="auto"/>
              </w:rPr>
            </w:pPr>
            <w:r>
              <w:rPr>
                <w:rFonts w:ascii="Arial" w:cs="Arial" w:eastAsia="Arial" w:hAnsi="Arial"/>
                <w:sz w:val="18"/>
                <w:szCs w:val="18"/>
                <w:color w:val="auto"/>
                <w:w w:val="96"/>
              </w:rPr>
              <w:t>I.R.S. Identification Nos. of above persons (entities only).</w:t>
            </w:r>
          </w:p>
        </w:tc>
        <w:tc>
          <w:tcPr>
            <w:tcW w:w="5720" w:type="dxa"/>
            <w:vAlign w:val="bottom"/>
          </w:tcPr>
          <w:p>
            <w:pPr>
              <w:jc w:val="right"/>
              <w:ind w:right="4570"/>
              <w:spacing w:after="0"/>
              <w:rPr>
                <w:sz w:val="20"/>
                <w:szCs w:val="20"/>
                <w:color w:val="auto"/>
              </w:rPr>
            </w:pPr>
            <w:r>
              <w:rPr>
                <w:rFonts w:ascii="Arial" w:cs="Arial" w:eastAsia="Arial" w:hAnsi="Arial"/>
                <w:sz w:val="18"/>
                <w:szCs w:val="18"/>
                <w:color w:val="auto"/>
              </w:rPr>
              <w:t>33-0704072</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43180</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14" w:lineRule="exact"/>
        <w:rPr>
          <w:sz w:val="20"/>
          <w:szCs w:val="20"/>
          <w:color w:val="auto"/>
        </w:rPr>
      </w:pPr>
    </w:p>
    <w:p>
      <w:pPr>
        <w:ind w:left="1140" w:hanging="366"/>
        <w:spacing w:after="0"/>
        <w:tabs>
          <w:tab w:leader="none" w:pos="1140" w:val="left"/>
        </w:tabs>
        <w:numPr>
          <w:ilvl w:val="0"/>
          <w:numId w:val="3"/>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380" w:hanging="238"/>
        <w:spacing w:after="0" w:line="207" w:lineRule="exact"/>
        <w:tabs>
          <w:tab w:leader="none" w:pos="1380" w:val="left"/>
        </w:tabs>
        <w:numPr>
          <w:ilvl w:val="1"/>
          <w:numId w:val="3"/>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00" w:hanging="258"/>
        <w:spacing w:after="0" w:line="207" w:lineRule="exact"/>
        <w:tabs>
          <w:tab w:leader="none" w:pos="1400" w:val="left"/>
        </w:tabs>
        <w:numPr>
          <w:ilvl w:val="1"/>
          <w:numId w:val="3"/>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41" w:lineRule="exact"/>
        <w:rPr>
          <w:rFonts w:ascii="Arial" w:cs="Arial" w:eastAsia="Arial" w:hAnsi="Arial"/>
          <w:sz w:val="18"/>
          <w:szCs w:val="18"/>
          <w:color w:val="auto"/>
        </w:rPr>
      </w:pPr>
    </w:p>
    <w:p>
      <w:pPr>
        <w:ind w:left="1140" w:hanging="366"/>
        <w:spacing w:after="0"/>
        <w:tabs>
          <w:tab w:leader="none" w:pos="1140" w:val="left"/>
        </w:tabs>
        <w:numPr>
          <w:ilvl w:val="0"/>
          <w:numId w:val="3"/>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1323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-173355</wp:posOffset>
            </wp:positionV>
            <wp:extent cx="713232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ind w:left="780"/>
              <w:spacing w:after="0"/>
              <w:rPr>
                <w:sz w:val="20"/>
                <w:szCs w:val="20"/>
                <w:color w:val="auto"/>
              </w:rPr>
            </w:pPr>
            <w:r>
              <w:rPr>
                <w:rFonts w:ascii="Arial" w:cs="Arial" w:eastAsia="Arial" w:hAnsi="Arial"/>
                <w:sz w:val="18"/>
                <w:szCs w:val="18"/>
                <w:color w:val="auto"/>
              </w:rPr>
              <w:t>4.</w:t>
            </w:r>
          </w:p>
        </w:tc>
        <w:tc>
          <w:tcPr>
            <w:tcW w:w="3740" w:type="dxa"/>
            <w:vAlign w:val="bottom"/>
            <w:gridSpan w:val="3"/>
          </w:tcPr>
          <w:p>
            <w:pPr>
              <w:ind w:left="40"/>
              <w:spacing w:after="0"/>
              <w:rPr>
                <w:sz w:val="20"/>
                <w:szCs w:val="20"/>
                <w:color w:val="auto"/>
              </w:rPr>
            </w:pPr>
            <w:r>
              <w:rPr>
                <w:rFonts w:ascii="Arial" w:cs="Arial" w:eastAsia="Arial" w:hAnsi="Arial"/>
                <w:sz w:val="18"/>
                <w:szCs w:val="18"/>
                <w:color w:val="auto"/>
              </w:rPr>
              <w:t>Citizenship or Place of Organization</w:t>
            </w:r>
          </w:p>
        </w:tc>
        <w:tc>
          <w:tcPr>
            <w:tcW w:w="2040" w:type="dxa"/>
            <w:vAlign w:val="bottom"/>
          </w:tcPr>
          <w:p>
            <w:pPr>
              <w:ind w:left="460"/>
              <w:spacing w:after="0"/>
              <w:rPr>
                <w:sz w:val="20"/>
                <w:szCs w:val="20"/>
                <w:color w:val="auto"/>
              </w:rPr>
            </w:pPr>
            <w:r>
              <w:rPr>
                <w:rFonts w:ascii="Arial" w:cs="Arial" w:eastAsia="Arial" w:hAnsi="Arial"/>
                <w:sz w:val="18"/>
                <w:szCs w:val="18"/>
                <w:color w:val="auto"/>
              </w:rPr>
              <w:t>Delaware</w:t>
            </w:r>
          </w:p>
        </w:tc>
        <w:tc>
          <w:tcPr>
            <w:tcW w:w="4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77"/>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5.</w:t>
            </w:r>
          </w:p>
        </w:tc>
        <w:tc>
          <w:tcPr>
            <w:tcW w:w="246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2040" w:type="dxa"/>
            <w:vAlign w:val="bottom"/>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6.</w:t>
            </w:r>
          </w:p>
        </w:tc>
        <w:tc>
          <w:tcPr>
            <w:tcW w:w="246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2040" w:type="dxa"/>
            <w:vAlign w:val="bottom"/>
          </w:tcPr>
          <w:p>
            <w:pPr>
              <w:ind w:left="460"/>
              <w:spacing w:after="0"/>
              <w:rPr>
                <w:sz w:val="20"/>
                <w:szCs w:val="20"/>
                <w:color w:val="auto"/>
              </w:rPr>
            </w:pPr>
            <w:r>
              <w:rPr>
                <w:rFonts w:ascii="Arial" w:cs="Arial" w:eastAsia="Arial" w:hAnsi="Arial"/>
                <w:sz w:val="18"/>
                <w:szCs w:val="18"/>
                <w:color w:val="auto"/>
              </w:rPr>
              <w:t>5,014,026 ORD</w:t>
            </w: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7.</w:t>
            </w:r>
          </w:p>
        </w:tc>
        <w:tc>
          <w:tcPr>
            <w:tcW w:w="246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2040" w:type="dxa"/>
            <w:vAlign w:val="bottom"/>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28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rPr>
              <w:t>8.</w:t>
            </w:r>
          </w:p>
        </w:tc>
        <w:tc>
          <w:tcPr>
            <w:tcW w:w="246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2040" w:type="dxa"/>
            <w:vAlign w:val="bottom"/>
            <w:vMerge w:val="restart"/>
          </w:tcPr>
          <w:p>
            <w:pPr>
              <w:ind w:left="460"/>
              <w:spacing w:after="0"/>
              <w:rPr>
                <w:sz w:val="20"/>
                <w:szCs w:val="20"/>
                <w:color w:val="auto"/>
              </w:rPr>
            </w:pPr>
            <w:r>
              <w:rPr>
                <w:rFonts w:ascii="Arial" w:cs="Arial" w:eastAsia="Arial" w:hAnsi="Arial"/>
                <w:sz w:val="18"/>
                <w:szCs w:val="18"/>
                <w:color w:val="auto"/>
              </w:rPr>
              <w:t>5,720,951 ORD</w:t>
            </w: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4"/>
                <w:szCs w:val="24"/>
                <w:color w:val="auto"/>
              </w:rPr>
            </w:pPr>
          </w:p>
        </w:tc>
        <w:tc>
          <w:tcPr>
            <w:tcW w:w="1280" w:type="dxa"/>
            <w:vAlign w:val="bottom"/>
            <w:gridSpan w:val="2"/>
            <w:vMerge w:val="continue"/>
          </w:tcPr>
          <w:p>
            <w:pPr>
              <w:spacing w:after="0"/>
              <w:rPr>
                <w:sz w:val="24"/>
                <w:szCs w:val="24"/>
                <w:color w:val="auto"/>
              </w:rPr>
            </w:pPr>
          </w:p>
        </w:tc>
        <w:tc>
          <w:tcPr>
            <w:tcW w:w="2460" w:type="dxa"/>
            <w:vAlign w:val="bottom"/>
            <w:vMerge w:val="continue"/>
          </w:tcPr>
          <w:p>
            <w:pPr>
              <w:spacing w:after="0"/>
              <w:rPr>
                <w:sz w:val="24"/>
                <w:szCs w:val="24"/>
                <w:color w:val="auto"/>
              </w:rPr>
            </w:pPr>
          </w:p>
        </w:tc>
        <w:tc>
          <w:tcPr>
            <w:tcW w:w="2040" w:type="dxa"/>
            <w:vAlign w:val="bottom"/>
            <w:vMerge w:val="continue"/>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5180" w:type="dxa"/>
            <w:vAlign w:val="bottom"/>
            <w:tcBorders>
              <w:bottom w:val="single" w:sz="8" w:color="auto"/>
            </w:tcBorders>
            <w:gridSpan w:val="3"/>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5"/>
        </w:trPr>
        <w:tc>
          <w:tcPr>
            <w:tcW w:w="1100" w:type="dxa"/>
            <w:vAlign w:val="bottom"/>
          </w:tcPr>
          <w:p>
            <w:pPr>
              <w:ind w:left="780"/>
              <w:spacing w:after="0"/>
              <w:rPr>
                <w:sz w:val="20"/>
                <w:szCs w:val="20"/>
                <w:color w:val="auto"/>
              </w:rPr>
            </w:pPr>
            <w:r>
              <w:rPr>
                <w:rFonts w:ascii="Arial" w:cs="Arial" w:eastAsia="Arial" w:hAnsi="Arial"/>
                <w:sz w:val="18"/>
                <w:szCs w:val="18"/>
                <w:color w:val="auto"/>
              </w:rPr>
              <w:t>9.</w:t>
            </w:r>
          </w:p>
        </w:tc>
        <w:tc>
          <w:tcPr>
            <w:tcW w:w="578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4360" w:type="dxa"/>
            <w:vAlign w:val="bottom"/>
          </w:tcPr>
          <w:p>
            <w:pPr>
              <w:ind w:left="440"/>
              <w:spacing w:after="0"/>
              <w:rPr>
                <w:sz w:val="20"/>
                <w:szCs w:val="20"/>
                <w:color w:val="auto"/>
              </w:rPr>
            </w:pPr>
            <w:r>
              <w:rPr>
                <w:rFonts w:ascii="Arial" w:cs="Arial" w:eastAsia="Arial" w:hAnsi="Arial"/>
                <w:sz w:val="18"/>
                <w:szCs w:val="18"/>
                <w:color w:val="auto"/>
              </w:rPr>
              <w:t>5,720,951 ORD</w:t>
            </w:r>
          </w:p>
        </w:tc>
        <w:tc>
          <w:tcPr>
            <w:tcW w:w="0" w:type="dxa"/>
            <w:vAlign w:val="bottom"/>
          </w:tcPr>
          <w:p>
            <w:pPr>
              <w:spacing w:after="0"/>
              <w:rPr>
                <w:sz w:val="1"/>
                <w:szCs w:val="1"/>
                <w:color w:val="auto"/>
              </w:rPr>
            </w:pPr>
          </w:p>
        </w:tc>
      </w:tr>
    </w:tbl>
    <w:p>
      <w:pPr>
        <w:spacing w:after="0" w:line="169" w:lineRule="exact"/>
        <w:rPr>
          <w:sz w:val="20"/>
          <w:szCs w:val="20"/>
          <w:color w:val="auto"/>
        </w:rPr>
      </w:pPr>
    </w:p>
    <w:p>
      <w:pPr>
        <w:ind w:left="1120" w:hanging="463"/>
        <w:spacing w:after="0" w:line="207" w:lineRule="exact"/>
        <w:tabs>
          <w:tab w:leader="none" w:pos="1120" w:val="left"/>
        </w:tabs>
        <w:numPr>
          <w:ilvl w:val="0"/>
          <w:numId w:val="4"/>
        </w:numPr>
        <w:rPr>
          <w:rFonts w:ascii="Arial" w:cs="Arial" w:eastAsia="Arial" w:hAnsi="Arial"/>
          <w:sz w:val="18"/>
          <w:szCs w:val="18"/>
          <w:color w:val="auto"/>
        </w:rPr>
      </w:pPr>
      <w:r>
        <w:rPr>
          <w:rFonts w:ascii="Arial" w:cs="Arial" w:eastAsia="Arial" w:hAnsi="Arial"/>
          <w:sz w:val="18"/>
          <w:szCs w:val="18"/>
          <w:color w:val="auto"/>
        </w:rPr>
        <w:t>Check if the Aggregate Amount in Row (9) Excludes Certain Shares (See Instructions)</w:t>
      </w:r>
      <w:r>
        <w:rPr>
          <w:rFonts w:ascii="MS PGothic" w:cs="MS PGothic" w:eastAsia="MS PGothic" w:hAnsi="MS PGothic"/>
          <w:sz w:val="18"/>
          <w:szCs w:val="18"/>
          <w:color w:val="auto"/>
        </w:rPr>
        <w:t>☐</w:t>
      </w:r>
    </w:p>
    <w:p>
      <w:pPr>
        <w:spacing w:after="0" w:line="25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02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11.</w:t>
            </w:r>
          </w:p>
        </w:tc>
        <w:tc>
          <w:tcPr>
            <w:tcW w:w="398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w w:val="91"/>
              </w:rPr>
              <w:t>Percent of Class Represented by Amount in Row (9)</w:t>
            </w:r>
          </w:p>
        </w:tc>
        <w:tc>
          <w:tcPr>
            <w:tcW w:w="6240" w:type="dxa"/>
            <w:vAlign w:val="bottom"/>
            <w:tcBorders>
              <w:bottom w:val="single" w:sz="8" w:color="auto"/>
            </w:tcBorders>
          </w:tcPr>
          <w:p>
            <w:pPr>
              <w:jc w:val="right"/>
              <w:ind w:right="4930"/>
              <w:spacing w:after="0"/>
              <w:rPr>
                <w:sz w:val="20"/>
                <w:szCs w:val="20"/>
                <w:color w:val="auto"/>
              </w:rPr>
            </w:pPr>
            <w:r>
              <w:rPr>
                <w:rFonts w:ascii="Arial" w:cs="Arial" w:eastAsia="Arial" w:hAnsi="Arial"/>
                <w:sz w:val="18"/>
                <w:szCs w:val="18"/>
                <w:color w:val="auto"/>
              </w:rPr>
              <w:t>18.41 %</w:t>
            </w:r>
          </w:p>
        </w:tc>
      </w:tr>
      <w:tr>
        <w:trPr>
          <w:trHeight w:val="425"/>
        </w:trPr>
        <w:tc>
          <w:tcPr>
            <w:tcW w:w="102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12.</w:t>
            </w:r>
          </w:p>
        </w:tc>
        <w:tc>
          <w:tcPr>
            <w:tcW w:w="398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rPr>
              <w:t>Type of Reporting Person (See Instructions)</w:t>
            </w:r>
          </w:p>
        </w:tc>
        <w:tc>
          <w:tcPr>
            <w:tcW w:w="6240" w:type="dxa"/>
            <w:vAlign w:val="bottom"/>
            <w:tcBorders>
              <w:bottom w:val="single" w:sz="8" w:color="auto"/>
            </w:tcBorders>
          </w:tcPr>
          <w:p>
            <w:pPr>
              <w:jc w:val="right"/>
              <w:ind w:right="5570"/>
              <w:spacing w:after="0"/>
              <w:rPr>
                <w:sz w:val="20"/>
                <w:szCs w:val="20"/>
                <w:color w:val="auto"/>
              </w:rPr>
            </w:pPr>
            <w:r>
              <w:rPr>
                <w:rFonts w:ascii="Arial" w:cs="Arial" w:eastAsia="Arial" w:hAnsi="Arial"/>
                <w:sz w:val="18"/>
                <w:szCs w:val="18"/>
                <w:color w:val="auto"/>
              </w:rPr>
              <w:t>IA, PN</w:t>
            </w:r>
          </w:p>
        </w:tc>
      </w:tr>
      <w:tr>
        <w:trPr>
          <w:trHeight w:val="668"/>
        </w:trPr>
        <w:tc>
          <w:tcPr>
            <w:tcW w:w="1020" w:type="dxa"/>
            <w:vAlign w:val="bottom"/>
            <w:tcBorders>
              <w:bottom w:val="single" w:sz="8" w:color="auto"/>
            </w:tcBorders>
          </w:tcPr>
          <w:p>
            <w:pPr>
              <w:spacing w:after="0"/>
              <w:rPr>
                <w:sz w:val="24"/>
                <w:szCs w:val="24"/>
                <w:color w:val="auto"/>
              </w:rPr>
            </w:pPr>
          </w:p>
        </w:tc>
        <w:tc>
          <w:tcPr>
            <w:tcW w:w="3980" w:type="dxa"/>
            <w:vAlign w:val="bottom"/>
            <w:tcBorders>
              <w:bottom w:val="single" w:sz="8" w:color="auto"/>
            </w:tcBorders>
          </w:tcPr>
          <w:p>
            <w:pPr>
              <w:spacing w:after="0"/>
              <w:rPr>
                <w:sz w:val="24"/>
                <w:szCs w:val="24"/>
                <w:color w:val="auto"/>
              </w:rPr>
            </w:pPr>
          </w:p>
        </w:tc>
        <w:tc>
          <w:tcPr>
            <w:tcW w:w="62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517" w:right="339" w:bottom="1440" w:gutter="0" w:footer="0" w:header="0"/>
        </w:sectPr>
      </w:pPr>
    </w:p>
    <w:bookmarkStart w:id="2" w:name="page3"/>
    <w:bookmarkEnd w:id="2"/>
    <w:p>
      <w:pPr>
        <w:jc w:val="right"/>
        <w:spacing w:after="0"/>
        <w:rPr>
          <w:sz w:val="20"/>
          <w:szCs w:val="20"/>
          <w:color w:val="auto"/>
        </w:rPr>
      </w:pPr>
      <w:r>
        <w:rPr>
          <w:rFonts w:ascii="Arial" w:cs="Arial" w:eastAsia="Arial" w:hAnsi="Arial"/>
          <w:sz w:val="18"/>
          <w:szCs w:val="18"/>
          <w:color w:val="auto"/>
        </w:rPr>
        <w:t>Page 3 of 12</w:t>
      </w:r>
    </w:p>
    <w:p>
      <w:pPr>
        <w:spacing w:after="0" w:line="200" w:lineRule="exact"/>
        <w:rPr>
          <w:sz w:val="20"/>
          <w:szCs w:val="20"/>
          <w:color w:val="auto"/>
        </w:rPr>
      </w:pPr>
    </w:p>
    <w:p>
      <w:pPr>
        <w:spacing w:after="0" w:line="2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20" w:type="dxa"/>
            <w:vAlign w:val="bottom"/>
          </w:tcPr>
          <w:p>
            <w:pPr>
              <w:jc w:val="right"/>
              <w:ind w:right="110"/>
              <w:spacing w:after="0"/>
              <w:rPr>
                <w:sz w:val="20"/>
                <w:szCs w:val="20"/>
                <w:color w:val="auto"/>
              </w:rPr>
            </w:pPr>
            <w:r>
              <w:rPr>
                <w:rFonts w:ascii="Arial" w:cs="Arial" w:eastAsia="Arial" w:hAnsi="Arial"/>
                <w:sz w:val="18"/>
                <w:szCs w:val="18"/>
                <w:color w:val="auto"/>
                <w:w w:val="90"/>
              </w:rPr>
              <w:t>CUSIP No.</w:t>
            </w:r>
          </w:p>
        </w:tc>
        <w:tc>
          <w:tcPr>
            <w:tcW w:w="3260" w:type="dxa"/>
            <w:vAlign w:val="bottom"/>
          </w:tcPr>
          <w:p>
            <w:pPr>
              <w:ind w:left="680"/>
              <w:spacing w:after="0"/>
              <w:rPr>
                <w:sz w:val="20"/>
                <w:szCs w:val="20"/>
                <w:color w:val="auto"/>
              </w:rPr>
            </w:pPr>
            <w:r>
              <w:rPr>
                <w:rFonts w:ascii="Arial" w:cs="Arial" w:eastAsia="Arial" w:hAnsi="Arial"/>
                <w:sz w:val="18"/>
                <w:szCs w:val="18"/>
                <w:b w:val="1"/>
                <w:bCs w:val="1"/>
                <w:color w:val="auto"/>
              </w:rPr>
              <w:t>P16994132</w:t>
            </w:r>
          </w:p>
        </w:tc>
        <w:tc>
          <w:tcPr>
            <w:tcW w:w="1240" w:type="dxa"/>
            <w:vAlign w:val="bottom"/>
          </w:tcPr>
          <w:p>
            <w:pPr>
              <w:spacing w:after="0"/>
              <w:rPr>
                <w:sz w:val="20"/>
                <w:szCs w:val="20"/>
                <w:color w:val="auto"/>
              </w:rPr>
            </w:pPr>
          </w:p>
        </w:tc>
        <w:tc>
          <w:tcPr>
            <w:tcW w:w="5720" w:type="dxa"/>
            <w:vAlign w:val="bottom"/>
          </w:tcPr>
          <w:p>
            <w:pPr>
              <w:spacing w:after="0"/>
              <w:rPr>
                <w:sz w:val="20"/>
                <w:szCs w:val="20"/>
                <w:color w:val="auto"/>
              </w:rPr>
            </w:pPr>
          </w:p>
        </w:tc>
      </w:tr>
      <w:tr>
        <w:trPr>
          <w:trHeight w:val="216"/>
        </w:trPr>
        <w:tc>
          <w:tcPr>
            <w:tcW w:w="1020" w:type="dxa"/>
            <w:vAlign w:val="bottom"/>
            <w:tcBorders>
              <w:bottom w:val="single" w:sz="8" w:color="auto"/>
            </w:tcBorders>
          </w:tcPr>
          <w:p>
            <w:pPr>
              <w:spacing w:after="0"/>
              <w:rPr>
                <w:sz w:val="18"/>
                <w:szCs w:val="18"/>
                <w:color w:val="auto"/>
              </w:rPr>
            </w:pPr>
          </w:p>
        </w:tc>
        <w:tc>
          <w:tcPr>
            <w:tcW w:w="3260" w:type="dxa"/>
            <w:vAlign w:val="bottom"/>
            <w:tcBorders>
              <w:bottom w:val="single" w:sz="8" w:color="auto"/>
            </w:tcBorders>
          </w:tcPr>
          <w:p>
            <w:pPr>
              <w:spacing w:after="0"/>
              <w:rPr>
                <w:sz w:val="18"/>
                <w:szCs w:val="18"/>
                <w:color w:val="auto"/>
              </w:rPr>
            </w:pPr>
          </w:p>
        </w:tc>
        <w:tc>
          <w:tcPr>
            <w:tcW w:w="6960" w:type="dxa"/>
            <w:vAlign w:val="bottom"/>
            <w:tcBorders>
              <w:bottom w:val="single" w:sz="8" w:color="auto"/>
            </w:tcBorders>
            <w:gridSpan w:val="2"/>
          </w:tcPr>
          <w:p>
            <w:pPr>
              <w:spacing w:after="0"/>
              <w:rPr>
                <w:sz w:val="18"/>
                <w:szCs w:val="18"/>
                <w:color w:val="auto"/>
              </w:rPr>
            </w:pPr>
          </w:p>
        </w:tc>
      </w:tr>
      <w:tr>
        <w:trPr>
          <w:trHeight w:val="263"/>
        </w:trPr>
        <w:tc>
          <w:tcPr>
            <w:tcW w:w="1020" w:type="dxa"/>
            <w:vAlign w:val="bottom"/>
          </w:tcPr>
          <w:p>
            <w:pPr>
              <w:jc w:val="right"/>
              <w:ind w:right="30"/>
              <w:spacing w:after="0"/>
              <w:rPr>
                <w:sz w:val="20"/>
                <w:szCs w:val="20"/>
                <w:color w:val="auto"/>
              </w:rPr>
            </w:pPr>
            <w:r>
              <w:rPr>
                <w:rFonts w:ascii="Arial" w:cs="Arial" w:eastAsia="Arial" w:hAnsi="Arial"/>
                <w:sz w:val="18"/>
                <w:szCs w:val="18"/>
                <w:color w:val="auto"/>
              </w:rPr>
              <w:t>1.</w:t>
            </w:r>
          </w:p>
        </w:tc>
        <w:tc>
          <w:tcPr>
            <w:tcW w:w="3260" w:type="dxa"/>
            <w:vAlign w:val="bottom"/>
          </w:tcPr>
          <w:p>
            <w:pPr>
              <w:ind w:left="120"/>
              <w:spacing w:after="0"/>
              <w:rPr>
                <w:sz w:val="20"/>
                <w:szCs w:val="20"/>
                <w:color w:val="auto"/>
              </w:rPr>
            </w:pPr>
            <w:r>
              <w:rPr>
                <w:rFonts w:ascii="Arial" w:cs="Arial" w:eastAsia="Arial" w:hAnsi="Arial"/>
                <w:sz w:val="18"/>
                <w:szCs w:val="18"/>
                <w:color w:val="auto"/>
              </w:rPr>
              <w:t>Names of Reporting Persons.</w:t>
            </w:r>
          </w:p>
        </w:tc>
        <w:tc>
          <w:tcPr>
            <w:tcW w:w="6960" w:type="dxa"/>
            <w:vAlign w:val="bottom"/>
            <w:gridSpan w:val="2"/>
          </w:tcPr>
          <w:p>
            <w:pPr>
              <w:jc w:val="right"/>
              <w:ind w:right="4850"/>
              <w:spacing w:after="0"/>
              <w:rPr>
                <w:sz w:val="20"/>
                <w:szCs w:val="20"/>
                <w:color w:val="auto"/>
              </w:rPr>
            </w:pPr>
            <w:r>
              <w:rPr>
                <w:rFonts w:ascii="Arial" w:cs="Arial" w:eastAsia="Arial" w:hAnsi="Arial"/>
                <w:sz w:val="18"/>
                <w:szCs w:val="18"/>
                <w:color w:val="auto"/>
              </w:rPr>
              <w:t>CO-GP, LLC.</w:t>
            </w:r>
          </w:p>
        </w:tc>
      </w:tr>
      <w:tr>
        <w:trPr>
          <w:trHeight w:val="230"/>
        </w:trPr>
        <w:tc>
          <w:tcPr>
            <w:tcW w:w="1020" w:type="dxa"/>
            <w:vAlign w:val="bottom"/>
          </w:tcPr>
          <w:p>
            <w:pPr>
              <w:spacing w:after="0"/>
              <w:rPr>
                <w:sz w:val="20"/>
                <w:szCs w:val="20"/>
                <w:color w:val="auto"/>
              </w:rPr>
            </w:pPr>
          </w:p>
        </w:tc>
        <w:tc>
          <w:tcPr>
            <w:tcW w:w="4500" w:type="dxa"/>
            <w:vAlign w:val="bottom"/>
            <w:gridSpan w:val="2"/>
          </w:tcPr>
          <w:p>
            <w:pPr>
              <w:ind w:left="120"/>
              <w:spacing w:after="0"/>
              <w:rPr>
                <w:sz w:val="20"/>
                <w:szCs w:val="20"/>
                <w:color w:val="auto"/>
              </w:rPr>
            </w:pPr>
            <w:r>
              <w:rPr>
                <w:rFonts w:ascii="Arial" w:cs="Arial" w:eastAsia="Arial" w:hAnsi="Arial"/>
                <w:sz w:val="18"/>
                <w:szCs w:val="18"/>
                <w:color w:val="auto"/>
                <w:w w:val="96"/>
              </w:rPr>
              <w:t>I.R.S. Identification Nos. of above persons (entities only).</w:t>
            </w:r>
          </w:p>
        </w:tc>
        <w:tc>
          <w:tcPr>
            <w:tcW w:w="5720" w:type="dxa"/>
            <w:vAlign w:val="bottom"/>
          </w:tcPr>
          <w:p>
            <w:pPr>
              <w:jc w:val="right"/>
              <w:ind w:right="4570"/>
              <w:spacing w:after="0"/>
              <w:rPr>
                <w:sz w:val="20"/>
                <w:szCs w:val="20"/>
                <w:color w:val="auto"/>
              </w:rPr>
            </w:pPr>
            <w:r>
              <w:rPr>
                <w:rFonts w:ascii="Arial" w:cs="Arial" w:eastAsia="Arial" w:hAnsi="Arial"/>
                <w:sz w:val="18"/>
                <w:szCs w:val="18"/>
                <w:color w:val="auto"/>
              </w:rPr>
              <w:t>73-1677697</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43180</wp:posOffset>
            </wp:positionV>
            <wp:extent cx="713232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14" w:lineRule="exact"/>
        <w:rPr>
          <w:sz w:val="20"/>
          <w:szCs w:val="20"/>
          <w:color w:val="auto"/>
        </w:rPr>
      </w:pPr>
    </w:p>
    <w:p>
      <w:pPr>
        <w:ind w:left="1140" w:hanging="366"/>
        <w:spacing w:after="0"/>
        <w:tabs>
          <w:tab w:leader="none" w:pos="1140" w:val="left"/>
        </w:tabs>
        <w:numPr>
          <w:ilvl w:val="0"/>
          <w:numId w:val="5"/>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380" w:hanging="238"/>
        <w:spacing w:after="0" w:line="207" w:lineRule="exact"/>
        <w:tabs>
          <w:tab w:leader="none" w:pos="1380" w:val="left"/>
        </w:tabs>
        <w:numPr>
          <w:ilvl w:val="1"/>
          <w:numId w:val="5"/>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00" w:hanging="258"/>
        <w:spacing w:after="0" w:line="207" w:lineRule="exact"/>
        <w:tabs>
          <w:tab w:leader="none" w:pos="1400" w:val="left"/>
        </w:tabs>
        <w:numPr>
          <w:ilvl w:val="1"/>
          <w:numId w:val="5"/>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41" w:lineRule="exact"/>
        <w:rPr>
          <w:rFonts w:ascii="Arial" w:cs="Arial" w:eastAsia="Arial" w:hAnsi="Arial"/>
          <w:sz w:val="18"/>
          <w:szCs w:val="18"/>
          <w:color w:val="auto"/>
        </w:rPr>
      </w:pPr>
    </w:p>
    <w:p>
      <w:pPr>
        <w:ind w:left="1140" w:hanging="366"/>
        <w:spacing w:after="0"/>
        <w:tabs>
          <w:tab w:leader="none" w:pos="1140" w:val="left"/>
        </w:tabs>
        <w:numPr>
          <w:ilvl w:val="0"/>
          <w:numId w:val="5"/>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13232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-173355</wp:posOffset>
            </wp:positionV>
            <wp:extent cx="713232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ind w:left="780"/>
              <w:spacing w:after="0"/>
              <w:rPr>
                <w:sz w:val="20"/>
                <w:szCs w:val="20"/>
                <w:color w:val="auto"/>
              </w:rPr>
            </w:pPr>
            <w:r>
              <w:rPr>
                <w:rFonts w:ascii="Arial" w:cs="Arial" w:eastAsia="Arial" w:hAnsi="Arial"/>
                <w:sz w:val="18"/>
                <w:szCs w:val="18"/>
                <w:color w:val="auto"/>
              </w:rPr>
              <w:t>4.</w:t>
            </w:r>
          </w:p>
        </w:tc>
        <w:tc>
          <w:tcPr>
            <w:tcW w:w="3740" w:type="dxa"/>
            <w:vAlign w:val="bottom"/>
            <w:gridSpan w:val="3"/>
          </w:tcPr>
          <w:p>
            <w:pPr>
              <w:ind w:left="40"/>
              <w:spacing w:after="0"/>
              <w:rPr>
                <w:sz w:val="20"/>
                <w:szCs w:val="20"/>
                <w:color w:val="auto"/>
              </w:rPr>
            </w:pPr>
            <w:r>
              <w:rPr>
                <w:rFonts w:ascii="Arial" w:cs="Arial" w:eastAsia="Arial" w:hAnsi="Arial"/>
                <w:sz w:val="18"/>
                <w:szCs w:val="18"/>
                <w:color w:val="auto"/>
              </w:rPr>
              <w:t>Citizenship or Place of Organization</w:t>
            </w:r>
          </w:p>
        </w:tc>
        <w:tc>
          <w:tcPr>
            <w:tcW w:w="2040" w:type="dxa"/>
            <w:vAlign w:val="bottom"/>
          </w:tcPr>
          <w:p>
            <w:pPr>
              <w:ind w:left="460"/>
              <w:spacing w:after="0"/>
              <w:rPr>
                <w:sz w:val="20"/>
                <w:szCs w:val="20"/>
                <w:color w:val="auto"/>
              </w:rPr>
            </w:pPr>
            <w:r>
              <w:rPr>
                <w:rFonts w:ascii="Arial" w:cs="Arial" w:eastAsia="Arial" w:hAnsi="Arial"/>
                <w:sz w:val="18"/>
                <w:szCs w:val="18"/>
                <w:color w:val="auto"/>
              </w:rPr>
              <w:t>Delaware</w:t>
            </w:r>
          </w:p>
        </w:tc>
        <w:tc>
          <w:tcPr>
            <w:tcW w:w="4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7"/>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77"/>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5.</w:t>
            </w:r>
          </w:p>
        </w:tc>
        <w:tc>
          <w:tcPr>
            <w:tcW w:w="246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2040" w:type="dxa"/>
            <w:vAlign w:val="bottom"/>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6.</w:t>
            </w:r>
          </w:p>
        </w:tc>
        <w:tc>
          <w:tcPr>
            <w:tcW w:w="246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2040" w:type="dxa"/>
            <w:vAlign w:val="bottom"/>
          </w:tcPr>
          <w:p>
            <w:pPr>
              <w:ind w:left="460"/>
              <w:spacing w:after="0"/>
              <w:rPr>
                <w:sz w:val="20"/>
                <w:szCs w:val="20"/>
                <w:color w:val="auto"/>
              </w:rPr>
            </w:pPr>
            <w:r>
              <w:rPr>
                <w:rFonts w:ascii="Arial" w:cs="Arial" w:eastAsia="Arial" w:hAnsi="Arial"/>
                <w:sz w:val="18"/>
                <w:szCs w:val="18"/>
                <w:color w:val="auto"/>
              </w:rPr>
              <w:t>5,014,026 ORD</w:t>
            </w: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7"/>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7.</w:t>
            </w:r>
          </w:p>
        </w:tc>
        <w:tc>
          <w:tcPr>
            <w:tcW w:w="246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2040" w:type="dxa"/>
            <w:vAlign w:val="bottom"/>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28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rPr>
              <w:t>8.</w:t>
            </w:r>
          </w:p>
        </w:tc>
        <w:tc>
          <w:tcPr>
            <w:tcW w:w="246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2040" w:type="dxa"/>
            <w:vAlign w:val="bottom"/>
            <w:vMerge w:val="restart"/>
          </w:tcPr>
          <w:p>
            <w:pPr>
              <w:ind w:left="460"/>
              <w:spacing w:after="0"/>
              <w:rPr>
                <w:sz w:val="20"/>
                <w:szCs w:val="20"/>
                <w:color w:val="auto"/>
              </w:rPr>
            </w:pPr>
            <w:r>
              <w:rPr>
                <w:rFonts w:ascii="Arial" w:cs="Arial" w:eastAsia="Arial" w:hAnsi="Arial"/>
                <w:sz w:val="18"/>
                <w:szCs w:val="18"/>
                <w:color w:val="auto"/>
              </w:rPr>
              <w:t>5,720,951 ORD</w:t>
            </w: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4"/>
                <w:szCs w:val="24"/>
                <w:color w:val="auto"/>
              </w:rPr>
            </w:pPr>
          </w:p>
        </w:tc>
        <w:tc>
          <w:tcPr>
            <w:tcW w:w="1280" w:type="dxa"/>
            <w:vAlign w:val="bottom"/>
            <w:gridSpan w:val="2"/>
            <w:vMerge w:val="continue"/>
          </w:tcPr>
          <w:p>
            <w:pPr>
              <w:spacing w:after="0"/>
              <w:rPr>
                <w:sz w:val="24"/>
                <w:szCs w:val="24"/>
                <w:color w:val="auto"/>
              </w:rPr>
            </w:pPr>
          </w:p>
        </w:tc>
        <w:tc>
          <w:tcPr>
            <w:tcW w:w="2460" w:type="dxa"/>
            <w:vAlign w:val="bottom"/>
            <w:vMerge w:val="continue"/>
          </w:tcPr>
          <w:p>
            <w:pPr>
              <w:spacing w:after="0"/>
              <w:rPr>
                <w:sz w:val="24"/>
                <w:szCs w:val="24"/>
                <w:color w:val="auto"/>
              </w:rPr>
            </w:pPr>
          </w:p>
        </w:tc>
        <w:tc>
          <w:tcPr>
            <w:tcW w:w="2040" w:type="dxa"/>
            <w:vAlign w:val="bottom"/>
            <w:vMerge w:val="continue"/>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7"/>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5180" w:type="dxa"/>
            <w:vAlign w:val="bottom"/>
            <w:tcBorders>
              <w:bottom w:val="single" w:sz="8" w:color="auto"/>
            </w:tcBorders>
            <w:gridSpan w:val="3"/>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11"/>
        </w:trPr>
        <w:tc>
          <w:tcPr>
            <w:tcW w:w="1100" w:type="dxa"/>
            <w:vAlign w:val="bottom"/>
          </w:tcPr>
          <w:p>
            <w:pPr>
              <w:ind w:left="780"/>
              <w:spacing w:after="0"/>
              <w:rPr>
                <w:sz w:val="20"/>
                <w:szCs w:val="20"/>
                <w:color w:val="auto"/>
              </w:rPr>
            </w:pPr>
            <w:r>
              <w:rPr>
                <w:rFonts w:ascii="Arial" w:cs="Arial" w:eastAsia="Arial" w:hAnsi="Arial"/>
                <w:sz w:val="18"/>
                <w:szCs w:val="18"/>
                <w:color w:val="auto"/>
              </w:rPr>
              <w:t>9.</w:t>
            </w:r>
          </w:p>
        </w:tc>
        <w:tc>
          <w:tcPr>
            <w:tcW w:w="578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4360" w:type="dxa"/>
            <w:vAlign w:val="bottom"/>
          </w:tcPr>
          <w:p>
            <w:pPr>
              <w:ind w:left="440"/>
              <w:spacing w:after="0"/>
              <w:rPr>
                <w:sz w:val="20"/>
                <w:szCs w:val="20"/>
                <w:color w:val="auto"/>
              </w:rPr>
            </w:pPr>
            <w:r>
              <w:rPr>
                <w:rFonts w:ascii="Arial" w:cs="Arial" w:eastAsia="Arial" w:hAnsi="Arial"/>
                <w:sz w:val="18"/>
                <w:szCs w:val="18"/>
                <w:color w:val="auto"/>
                <w:w w:val="91"/>
              </w:rPr>
              <w:t>5,720,951 ORD shares are deemed to be beneficially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60" w:type="dxa"/>
            <w:vAlign w:val="bottom"/>
          </w:tcPr>
          <w:p>
            <w:pPr>
              <w:spacing w:after="0"/>
              <w:rPr>
                <w:sz w:val="18"/>
                <w:szCs w:val="18"/>
                <w:color w:val="auto"/>
              </w:rPr>
            </w:pPr>
          </w:p>
        </w:tc>
        <w:tc>
          <w:tcPr>
            <w:tcW w:w="2040" w:type="dxa"/>
            <w:vAlign w:val="bottom"/>
          </w:tcPr>
          <w:p>
            <w:pPr>
              <w:spacing w:after="0"/>
              <w:rPr>
                <w:sz w:val="18"/>
                <w:szCs w:val="18"/>
                <w:color w:val="auto"/>
              </w:rPr>
            </w:pPr>
          </w:p>
        </w:tc>
        <w:tc>
          <w:tcPr>
            <w:tcW w:w="4360" w:type="dxa"/>
            <w:vAlign w:val="bottom"/>
          </w:tcPr>
          <w:p>
            <w:pPr>
              <w:ind w:left="440"/>
              <w:spacing w:after="0"/>
              <w:rPr>
                <w:sz w:val="20"/>
                <w:szCs w:val="20"/>
                <w:color w:val="auto"/>
              </w:rPr>
            </w:pPr>
            <w:r>
              <w:rPr>
                <w:rFonts w:ascii="Arial" w:cs="Arial" w:eastAsia="Arial" w:hAnsi="Arial"/>
                <w:sz w:val="18"/>
                <w:szCs w:val="18"/>
                <w:color w:val="auto"/>
                <w:w w:val="99"/>
              </w:rPr>
              <w:t>owned by CO-GP, LLC as a control person of the</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60" w:type="dxa"/>
            <w:vAlign w:val="bottom"/>
          </w:tcPr>
          <w:p>
            <w:pPr>
              <w:spacing w:after="0"/>
              <w:rPr>
                <w:sz w:val="20"/>
                <w:szCs w:val="20"/>
                <w:color w:val="auto"/>
              </w:rPr>
            </w:pPr>
          </w:p>
        </w:tc>
        <w:tc>
          <w:tcPr>
            <w:tcW w:w="2040" w:type="dxa"/>
            <w:vAlign w:val="bottom"/>
          </w:tcPr>
          <w:p>
            <w:pPr>
              <w:spacing w:after="0"/>
              <w:rPr>
                <w:sz w:val="20"/>
                <w:szCs w:val="20"/>
                <w:color w:val="auto"/>
              </w:rPr>
            </w:pPr>
          </w:p>
        </w:tc>
        <w:tc>
          <w:tcPr>
            <w:tcW w:w="4360" w:type="dxa"/>
            <w:vAlign w:val="bottom"/>
          </w:tcPr>
          <w:p>
            <w:pPr>
              <w:ind w:left="440"/>
              <w:spacing w:after="0"/>
              <w:rPr>
                <w:sz w:val="20"/>
                <w:szCs w:val="20"/>
                <w:color w:val="auto"/>
              </w:rPr>
            </w:pPr>
            <w:r>
              <w:rPr>
                <w:rFonts w:ascii="Arial" w:cs="Arial" w:eastAsia="Arial" w:hAnsi="Arial"/>
                <w:sz w:val="18"/>
                <w:szCs w:val="18"/>
                <w:color w:val="auto"/>
                <w:w w:val="91"/>
              </w:rPr>
              <w:t>investment adviser. CO-GP, LLC disclaims any direct</w:t>
            </w:r>
          </w:p>
        </w:tc>
        <w:tc>
          <w:tcPr>
            <w:tcW w:w="0" w:type="dxa"/>
            <w:vAlign w:val="bottom"/>
          </w:tcPr>
          <w:p>
            <w:pPr>
              <w:spacing w:after="0"/>
              <w:rPr>
                <w:sz w:val="1"/>
                <w:szCs w:val="1"/>
                <w:color w:val="auto"/>
              </w:rPr>
            </w:pPr>
          </w:p>
        </w:tc>
      </w:tr>
    </w:tbl>
    <w:p>
      <w:pPr>
        <w:ind w:left="7320"/>
        <w:spacing w:after="0"/>
        <w:rPr>
          <w:sz w:val="20"/>
          <w:szCs w:val="20"/>
          <w:color w:val="auto"/>
        </w:rPr>
      </w:pPr>
      <w:r>
        <w:rPr>
          <w:rFonts w:ascii="Arial" w:cs="Arial" w:eastAsia="Arial" w:hAnsi="Arial"/>
          <w:sz w:val="17"/>
          <w:szCs w:val="17"/>
          <w:color w:val="auto"/>
        </w:rPr>
        <w:t>ownership of the shares reported in this Schedule</w:t>
      </w:r>
    </w:p>
    <w:p>
      <w:pPr>
        <w:spacing w:after="0" w:line="21" w:lineRule="exact"/>
        <w:rPr>
          <w:sz w:val="20"/>
          <w:szCs w:val="20"/>
          <w:color w:val="auto"/>
        </w:rPr>
      </w:pPr>
    </w:p>
    <w:p>
      <w:pPr>
        <w:ind w:left="7320"/>
        <w:spacing w:after="0"/>
        <w:rPr>
          <w:sz w:val="20"/>
          <w:szCs w:val="20"/>
          <w:color w:val="auto"/>
        </w:rPr>
      </w:pPr>
      <w:r>
        <w:rPr>
          <w:rFonts w:ascii="Arial" w:cs="Arial" w:eastAsia="Arial" w:hAnsi="Arial"/>
          <w:sz w:val="17"/>
          <w:szCs w:val="17"/>
          <w:color w:val="auto"/>
        </w:rPr>
        <w:t>13G, except for an amount that is substantially less</w:t>
      </w:r>
    </w:p>
    <w:p>
      <w:pPr>
        <w:spacing w:after="0" w:line="21" w:lineRule="exact"/>
        <w:rPr>
          <w:sz w:val="20"/>
          <w:szCs w:val="20"/>
          <w:color w:val="auto"/>
        </w:rPr>
      </w:pPr>
    </w:p>
    <w:p>
      <w:pPr>
        <w:ind w:left="7320"/>
        <w:spacing w:after="0"/>
        <w:rPr>
          <w:sz w:val="20"/>
          <w:szCs w:val="20"/>
          <w:color w:val="auto"/>
        </w:rPr>
      </w:pPr>
      <w:r>
        <w:rPr>
          <w:rFonts w:ascii="Arial" w:cs="Arial" w:eastAsia="Arial" w:hAnsi="Arial"/>
          <w:sz w:val="17"/>
          <w:szCs w:val="17"/>
          <w:color w:val="auto"/>
        </w:rPr>
        <w:t>than one per cent of the number of shares reported</w:t>
      </w:r>
    </w:p>
    <w:p>
      <w:pPr>
        <w:spacing w:after="0" w:line="21" w:lineRule="exact"/>
        <w:rPr>
          <w:sz w:val="20"/>
          <w:szCs w:val="20"/>
          <w:color w:val="auto"/>
        </w:rPr>
      </w:pPr>
    </w:p>
    <w:p>
      <w:pPr>
        <w:ind w:left="7320"/>
        <w:spacing w:after="0"/>
        <w:rPr>
          <w:sz w:val="20"/>
          <w:szCs w:val="20"/>
          <w:color w:val="auto"/>
        </w:rPr>
      </w:pPr>
      <w:r>
        <w:rPr>
          <w:rFonts w:ascii="Arial" w:cs="Arial" w:eastAsia="Arial" w:hAnsi="Arial"/>
          <w:sz w:val="18"/>
          <w:szCs w:val="18"/>
          <w:color w:val="auto"/>
        </w:rPr>
        <w:t>herein.</w:t>
      </w:r>
    </w:p>
    <w:p>
      <w:pPr>
        <w:spacing w:after="0" w:line="178" w:lineRule="exact"/>
        <w:rPr>
          <w:sz w:val="20"/>
          <w:szCs w:val="20"/>
          <w:color w:val="auto"/>
        </w:rPr>
      </w:pPr>
    </w:p>
    <w:p>
      <w:pPr>
        <w:ind w:left="1120" w:hanging="463"/>
        <w:spacing w:after="0" w:line="207" w:lineRule="exact"/>
        <w:tabs>
          <w:tab w:leader="none" w:pos="1120" w:val="left"/>
        </w:tabs>
        <w:numPr>
          <w:ilvl w:val="0"/>
          <w:numId w:val="6"/>
        </w:numPr>
        <w:rPr>
          <w:rFonts w:ascii="Arial" w:cs="Arial" w:eastAsia="Arial" w:hAnsi="Arial"/>
          <w:sz w:val="18"/>
          <w:szCs w:val="18"/>
          <w:color w:val="auto"/>
        </w:rPr>
      </w:pPr>
      <w:r>
        <w:rPr>
          <w:rFonts w:ascii="Arial" w:cs="Arial" w:eastAsia="Arial" w:hAnsi="Arial"/>
          <w:sz w:val="18"/>
          <w:szCs w:val="18"/>
          <w:color w:val="auto"/>
        </w:rPr>
        <w:t>Check if the Aggregate Amount in Row (9) Excludes Certain Shares (See Instructions)</w:t>
      </w:r>
      <w:r>
        <w:rPr>
          <w:rFonts w:ascii="MS PGothic" w:cs="MS PGothic" w:eastAsia="MS PGothic" w:hAnsi="MS PGothic"/>
          <w:sz w:val="18"/>
          <w:szCs w:val="18"/>
          <w:color w:val="auto"/>
        </w:rPr>
        <w:t>☐</w:t>
      </w:r>
    </w:p>
    <w:p>
      <w:pPr>
        <w:spacing w:after="0" w:line="25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02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11.</w:t>
            </w:r>
          </w:p>
        </w:tc>
        <w:tc>
          <w:tcPr>
            <w:tcW w:w="398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w w:val="91"/>
              </w:rPr>
              <w:t>Percent of Class Represented by Amount in Row (9)</w:t>
            </w:r>
          </w:p>
        </w:tc>
        <w:tc>
          <w:tcPr>
            <w:tcW w:w="6240" w:type="dxa"/>
            <w:vAlign w:val="bottom"/>
            <w:tcBorders>
              <w:bottom w:val="single" w:sz="8" w:color="auto"/>
            </w:tcBorders>
          </w:tcPr>
          <w:p>
            <w:pPr>
              <w:jc w:val="right"/>
              <w:ind w:right="4930"/>
              <w:spacing w:after="0"/>
              <w:rPr>
                <w:sz w:val="20"/>
                <w:szCs w:val="20"/>
                <w:color w:val="auto"/>
              </w:rPr>
            </w:pPr>
            <w:r>
              <w:rPr>
                <w:rFonts w:ascii="Arial" w:cs="Arial" w:eastAsia="Arial" w:hAnsi="Arial"/>
                <w:sz w:val="18"/>
                <w:szCs w:val="18"/>
                <w:color w:val="auto"/>
              </w:rPr>
              <w:t>18.41 %</w:t>
            </w:r>
          </w:p>
        </w:tc>
      </w:tr>
      <w:tr>
        <w:trPr>
          <w:trHeight w:val="425"/>
        </w:trPr>
        <w:tc>
          <w:tcPr>
            <w:tcW w:w="102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12.</w:t>
            </w:r>
          </w:p>
        </w:tc>
        <w:tc>
          <w:tcPr>
            <w:tcW w:w="398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rPr>
              <w:t>Type of Reporting Person (See Instructions)</w:t>
            </w:r>
          </w:p>
        </w:tc>
        <w:tc>
          <w:tcPr>
            <w:tcW w:w="6240" w:type="dxa"/>
            <w:vAlign w:val="bottom"/>
            <w:tcBorders>
              <w:bottom w:val="single" w:sz="8" w:color="auto"/>
            </w:tcBorders>
          </w:tcPr>
          <w:p>
            <w:pPr>
              <w:jc w:val="right"/>
              <w:ind w:right="4230"/>
              <w:spacing w:after="0"/>
              <w:rPr>
                <w:sz w:val="20"/>
                <w:szCs w:val="20"/>
                <w:color w:val="auto"/>
              </w:rPr>
            </w:pPr>
            <w:r>
              <w:rPr>
                <w:rFonts w:ascii="Arial" w:cs="Arial" w:eastAsia="Arial" w:hAnsi="Arial"/>
                <w:sz w:val="18"/>
                <w:szCs w:val="18"/>
                <w:color w:val="auto"/>
                <w:w w:val="94"/>
              </w:rPr>
              <w:t>CO, OO (Control Person)</w:t>
            </w:r>
          </w:p>
        </w:tc>
      </w:tr>
      <w:tr>
        <w:trPr>
          <w:trHeight w:val="668"/>
        </w:trPr>
        <w:tc>
          <w:tcPr>
            <w:tcW w:w="1020" w:type="dxa"/>
            <w:vAlign w:val="bottom"/>
            <w:tcBorders>
              <w:bottom w:val="single" w:sz="8" w:color="auto"/>
            </w:tcBorders>
          </w:tcPr>
          <w:p>
            <w:pPr>
              <w:spacing w:after="0"/>
              <w:rPr>
                <w:sz w:val="24"/>
                <w:szCs w:val="24"/>
                <w:color w:val="auto"/>
              </w:rPr>
            </w:pPr>
          </w:p>
        </w:tc>
        <w:tc>
          <w:tcPr>
            <w:tcW w:w="3980" w:type="dxa"/>
            <w:vAlign w:val="bottom"/>
            <w:tcBorders>
              <w:bottom w:val="single" w:sz="8" w:color="auto"/>
            </w:tcBorders>
          </w:tcPr>
          <w:p>
            <w:pPr>
              <w:spacing w:after="0"/>
              <w:rPr>
                <w:sz w:val="24"/>
                <w:szCs w:val="24"/>
                <w:color w:val="auto"/>
              </w:rPr>
            </w:pPr>
          </w:p>
        </w:tc>
        <w:tc>
          <w:tcPr>
            <w:tcW w:w="62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490" w:right="339" w:bottom="1440" w:gutter="0" w:footer="0" w:header="0"/>
        </w:sectPr>
      </w:pPr>
    </w:p>
    <w:bookmarkStart w:id="3" w:name="page4"/>
    <w:bookmarkEnd w:id="3"/>
    <w:p>
      <w:pPr>
        <w:jc w:val="right"/>
        <w:spacing w:after="0"/>
        <w:rPr>
          <w:sz w:val="20"/>
          <w:szCs w:val="20"/>
          <w:color w:val="auto"/>
        </w:rPr>
      </w:pPr>
      <w:r>
        <w:rPr>
          <w:rFonts w:ascii="Arial" w:cs="Arial" w:eastAsia="Arial" w:hAnsi="Arial"/>
          <w:sz w:val="18"/>
          <w:szCs w:val="18"/>
          <w:color w:val="auto"/>
        </w:rPr>
        <w:t>Page 4 of 12</w:t>
      </w:r>
    </w:p>
    <w:p>
      <w:pPr>
        <w:spacing w:after="0" w:line="200" w:lineRule="exact"/>
        <w:rPr>
          <w:sz w:val="20"/>
          <w:szCs w:val="20"/>
          <w:color w:val="auto"/>
        </w:rPr>
      </w:pPr>
    </w:p>
    <w:p>
      <w:pPr>
        <w:spacing w:after="0" w:line="2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20" w:type="dxa"/>
            <w:vAlign w:val="bottom"/>
          </w:tcPr>
          <w:p>
            <w:pPr>
              <w:jc w:val="right"/>
              <w:ind w:right="110"/>
              <w:spacing w:after="0"/>
              <w:rPr>
                <w:sz w:val="20"/>
                <w:szCs w:val="20"/>
                <w:color w:val="auto"/>
              </w:rPr>
            </w:pPr>
            <w:r>
              <w:rPr>
                <w:rFonts w:ascii="Arial" w:cs="Arial" w:eastAsia="Arial" w:hAnsi="Arial"/>
                <w:sz w:val="18"/>
                <w:szCs w:val="18"/>
                <w:color w:val="auto"/>
                <w:w w:val="90"/>
              </w:rPr>
              <w:t>CUSIP No.</w:t>
            </w:r>
          </w:p>
        </w:tc>
        <w:tc>
          <w:tcPr>
            <w:tcW w:w="3260" w:type="dxa"/>
            <w:vAlign w:val="bottom"/>
          </w:tcPr>
          <w:p>
            <w:pPr>
              <w:ind w:left="680"/>
              <w:spacing w:after="0"/>
              <w:rPr>
                <w:sz w:val="20"/>
                <w:szCs w:val="20"/>
                <w:color w:val="auto"/>
              </w:rPr>
            </w:pPr>
            <w:r>
              <w:rPr>
                <w:rFonts w:ascii="Arial" w:cs="Arial" w:eastAsia="Arial" w:hAnsi="Arial"/>
                <w:sz w:val="18"/>
                <w:szCs w:val="18"/>
                <w:b w:val="1"/>
                <w:bCs w:val="1"/>
                <w:color w:val="auto"/>
              </w:rPr>
              <w:t>P16994132</w:t>
            </w:r>
          </w:p>
        </w:tc>
        <w:tc>
          <w:tcPr>
            <w:tcW w:w="1240" w:type="dxa"/>
            <w:vAlign w:val="bottom"/>
          </w:tcPr>
          <w:p>
            <w:pPr>
              <w:spacing w:after="0"/>
              <w:rPr>
                <w:sz w:val="20"/>
                <w:szCs w:val="20"/>
                <w:color w:val="auto"/>
              </w:rPr>
            </w:pPr>
          </w:p>
        </w:tc>
        <w:tc>
          <w:tcPr>
            <w:tcW w:w="5720" w:type="dxa"/>
            <w:vAlign w:val="bottom"/>
          </w:tcPr>
          <w:p>
            <w:pPr>
              <w:spacing w:after="0"/>
              <w:rPr>
                <w:sz w:val="20"/>
                <w:szCs w:val="20"/>
                <w:color w:val="auto"/>
              </w:rPr>
            </w:pPr>
          </w:p>
        </w:tc>
      </w:tr>
      <w:tr>
        <w:trPr>
          <w:trHeight w:val="216"/>
        </w:trPr>
        <w:tc>
          <w:tcPr>
            <w:tcW w:w="1020" w:type="dxa"/>
            <w:vAlign w:val="bottom"/>
            <w:tcBorders>
              <w:bottom w:val="single" w:sz="8" w:color="auto"/>
            </w:tcBorders>
          </w:tcPr>
          <w:p>
            <w:pPr>
              <w:spacing w:after="0"/>
              <w:rPr>
                <w:sz w:val="18"/>
                <w:szCs w:val="18"/>
                <w:color w:val="auto"/>
              </w:rPr>
            </w:pPr>
          </w:p>
        </w:tc>
        <w:tc>
          <w:tcPr>
            <w:tcW w:w="3260" w:type="dxa"/>
            <w:vAlign w:val="bottom"/>
            <w:tcBorders>
              <w:bottom w:val="single" w:sz="8" w:color="auto"/>
            </w:tcBorders>
          </w:tcPr>
          <w:p>
            <w:pPr>
              <w:spacing w:after="0"/>
              <w:rPr>
                <w:sz w:val="18"/>
                <w:szCs w:val="18"/>
                <w:color w:val="auto"/>
              </w:rPr>
            </w:pPr>
          </w:p>
        </w:tc>
        <w:tc>
          <w:tcPr>
            <w:tcW w:w="6960" w:type="dxa"/>
            <w:vAlign w:val="bottom"/>
            <w:tcBorders>
              <w:bottom w:val="single" w:sz="8" w:color="auto"/>
            </w:tcBorders>
            <w:gridSpan w:val="2"/>
          </w:tcPr>
          <w:p>
            <w:pPr>
              <w:spacing w:after="0"/>
              <w:rPr>
                <w:sz w:val="18"/>
                <w:szCs w:val="18"/>
                <w:color w:val="auto"/>
              </w:rPr>
            </w:pPr>
          </w:p>
        </w:tc>
      </w:tr>
      <w:tr>
        <w:trPr>
          <w:trHeight w:val="263"/>
        </w:trPr>
        <w:tc>
          <w:tcPr>
            <w:tcW w:w="1020" w:type="dxa"/>
            <w:vAlign w:val="bottom"/>
          </w:tcPr>
          <w:p>
            <w:pPr>
              <w:jc w:val="right"/>
              <w:ind w:right="30"/>
              <w:spacing w:after="0"/>
              <w:rPr>
                <w:sz w:val="20"/>
                <w:szCs w:val="20"/>
                <w:color w:val="auto"/>
              </w:rPr>
            </w:pPr>
            <w:r>
              <w:rPr>
                <w:rFonts w:ascii="Arial" w:cs="Arial" w:eastAsia="Arial" w:hAnsi="Arial"/>
                <w:sz w:val="18"/>
                <w:szCs w:val="18"/>
                <w:color w:val="auto"/>
              </w:rPr>
              <w:t>1.</w:t>
            </w:r>
          </w:p>
        </w:tc>
        <w:tc>
          <w:tcPr>
            <w:tcW w:w="3260" w:type="dxa"/>
            <w:vAlign w:val="bottom"/>
          </w:tcPr>
          <w:p>
            <w:pPr>
              <w:ind w:left="120"/>
              <w:spacing w:after="0"/>
              <w:rPr>
                <w:sz w:val="20"/>
                <w:szCs w:val="20"/>
                <w:color w:val="auto"/>
              </w:rPr>
            </w:pPr>
            <w:r>
              <w:rPr>
                <w:rFonts w:ascii="Arial" w:cs="Arial" w:eastAsia="Arial" w:hAnsi="Arial"/>
                <w:sz w:val="18"/>
                <w:szCs w:val="18"/>
                <w:color w:val="auto"/>
              </w:rPr>
              <w:t>Names of Reporting Persons.</w:t>
            </w:r>
          </w:p>
        </w:tc>
        <w:tc>
          <w:tcPr>
            <w:tcW w:w="6960" w:type="dxa"/>
            <w:vAlign w:val="bottom"/>
            <w:gridSpan w:val="2"/>
          </w:tcPr>
          <w:p>
            <w:pPr>
              <w:jc w:val="right"/>
              <w:ind w:right="3350"/>
              <w:spacing w:after="0"/>
              <w:rPr>
                <w:sz w:val="20"/>
                <w:szCs w:val="20"/>
                <w:color w:val="auto"/>
              </w:rPr>
            </w:pPr>
            <w:r>
              <w:rPr>
                <w:rFonts w:ascii="Arial" w:cs="Arial" w:eastAsia="Arial" w:hAnsi="Arial"/>
                <w:sz w:val="18"/>
                <w:szCs w:val="18"/>
                <w:color w:val="auto"/>
              </w:rPr>
              <w:t>Brandes Worldwide Holdings, L.P.</w:t>
            </w:r>
          </w:p>
        </w:tc>
      </w:tr>
      <w:tr>
        <w:trPr>
          <w:trHeight w:val="230"/>
        </w:trPr>
        <w:tc>
          <w:tcPr>
            <w:tcW w:w="1020" w:type="dxa"/>
            <w:vAlign w:val="bottom"/>
          </w:tcPr>
          <w:p>
            <w:pPr>
              <w:spacing w:after="0"/>
              <w:rPr>
                <w:sz w:val="20"/>
                <w:szCs w:val="20"/>
                <w:color w:val="auto"/>
              </w:rPr>
            </w:pPr>
          </w:p>
        </w:tc>
        <w:tc>
          <w:tcPr>
            <w:tcW w:w="4500" w:type="dxa"/>
            <w:vAlign w:val="bottom"/>
            <w:gridSpan w:val="2"/>
          </w:tcPr>
          <w:p>
            <w:pPr>
              <w:ind w:left="120"/>
              <w:spacing w:after="0"/>
              <w:rPr>
                <w:sz w:val="20"/>
                <w:szCs w:val="20"/>
                <w:color w:val="auto"/>
              </w:rPr>
            </w:pPr>
            <w:r>
              <w:rPr>
                <w:rFonts w:ascii="Arial" w:cs="Arial" w:eastAsia="Arial" w:hAnsi="Arial"/>
                <w:sz w:val="18"/>
                <w:szCs w:val="18"/>
                <w:color w:val="auto"/>
                <w:w w:val="96"/>
              </w:rPr>
              <w:t>I.R.S. Identification Nos. of above persons (entities only).</w:t>
            </w:r>
          </w:p>
        </w:tc>
        <w:tc>
          <w:tcPr>
            <w:tcW w:w="5720" w:type="dxa"/>
            <w:vAlign w:val="bottom"/>
          </w:tcPr>
          <w:p>
            <w:pPr>
              <w:jc w:val="right"/>
              <w:ind w:right="4570"/>
              <w:spacing w:after="0"/>
              <w:rPr>
                <w:sz w:val="20"/>
                <w:szCs w:val="20"/>
                <w:color w:val="auto"/>
              </w:rPr>
            </w:pPr>
            <w:r>
              <w:rPr>
                <w:rFonts w:ascii="Arial" w:cs="Arial" w:eastAsia="Arial" w:hAnsi="Arial"/>
                <w:sz w:val="18"/>
                <w:szCs w:val="18"/>
                <w:color w:val="auto"/>
              </w:rPr>
              <w:t>33-0836630</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43180</wp:posOffset>
            </wp:positionV>
            <wp:extent cx="7132320" cy="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14" w:lineRule="exact"/>
        <w:rPr>
          <w:sz w:val="20"/>
          <w:szCs w:val="20"/>
          <w:color w:val="auto"/>
        </w:rPr>
      </w:pPr>
    </w:p>
    <w:p>
      <w:pPr>
        <w:ind w:left="1140" w:hanging="366"/>
        <w:spacing w:after="0"/>
        <w:tabs>
          <w:tab w:leader="none" w:pos="1140" w:val="left"/>
        </w:tabs>
        <w:numPr>
          <w:ilvl w:val="0"/>
          <w:numId w:val="7"/>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380" w:hanging="238"/>
        <w:spacing w:after="0" w:line="207" w:lineRule="exact"/>
        <w:tabs>
          <w:tab w:leader="none" w:pos="1380" w:val="left"/>
        </w:tabs>
        <w:numPr>
          <w:ilvl w:val="1"/>
          <w:numId w:val="7"/>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00" w:hanging="258"/>
        <w:spacing w:after="0" w:line="207" w:lineRule="exact"/>
        <w:tabs>
          <w:tab w:leader="none" w:pos="1400" w:val="left"/>
        </w:tabs>
        <w:numPr>
          <w:ilvl w:val="1"/>
          <w:numId w:val="7"/>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41" w:lineRule="exact"/>
        <w:rPr>
          <w:rFonts w:ascii="Arial" w:cs="Arial" w:eastAsia="Arial" w:hAnsi="Arial"/>
          <w:sz w:val="18"/>
          <w:szCs w:val="18"/>
          <w:color w:val="auto"/>
        </w:rPr>
      </w:pPr>
    </w:p>
    <w:p>
      <w:pPr>
        <w:ind w:left="1140" w:hanging="366"/>
        <w:spacing w:after="0"/>
        <w:tabs>
          <w:tab w:leader="none" w:pos="1140" w:val="left"/>
        </w:tabs>
        <w:numPr>
          <w:ilvl w:val="0"/>
          <w:numId w:val="7"/>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132320"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-173355</wp:posOffset>
            </wp:positionV>
            <wp:extent cx="7132320"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ind w:left="780"/>
              <w:spacing w:after="0"/>
              <w:rPr>
                <w:sz w:val="20"/>
                <w:szCs w:val="20"/>
                <w:color w:val="auto"/>
              </w:rPr>
            </w:pPr>
            <w:r>
              <w:rPr>
                <w:rFonts w:ascii="Arial" w:cs="Arial" w:eastAsia="Arial" w:hAnsi="Arial"/>
                <w:sz w:val="18"/>
                <w:szCs w:val="18"/>
                <w:color w:val="auto"/>
              </w:rPr>
              <w:t>4.</w:t>
            </w:r>
          </w:p>
        </w:tc>
        <w:tc>
          <w:tcPr>
            <w:tcW w:w="3740" w:type="dxa"/>
            <w:vAlign w:val="bottom"/>
            <w:gridSpan w:val="3"/>
          </w:tcPr>
          <w:p>
            <w:pPr>
              <w:ind w:left="40"/>
              <w:spacing w:after="0"/>
              <w:rPr>
                <w:sz w:val="20"/>
                <w:szCs w:val="20"/>
                <w:color w:val="auto"/>
              </w:rPr>
            </w:pPr>
            <w:r>
              <w:rPr>
                <w:rFonts w:ascii="Arial" w:cs="Arial" w:eastAsia="Arial" w:hAnsi="Arial"/>
                <w:sz w:val="18"/>
                <w:szCs w:val="18"/>
                <w:color w:val="auto"/>
              </w:rPr>
              <w:t>Citizenship or Place of Organization</w:t>
            </w:r>
          </w:p>
        </w:tc>
        <w:tc>
          <w:tcPr>
            <w:tcW w:w="2040" w:type="dxa"/>
            <w:vAlign w:val="bottom"/>
          </w:tcPr>
          <w:p>
            <w:pPr>
              <w:ind w:left="460"/>
              <w:spacing w:after="0"/>
              <w:rPr>
                <w:sz w:val="20"/>
                <w:szCs w:val="20"/>
                <w:color w:val="auto"/>
              </w:rPr>
            </w:pPr>
            <w:r>
              <w:rPr>
                <w:rFonts w:ascii="Arial" w:cs="Arial" w:eastAsia="Arial" w:hAnsi="Arial"/>
                <w:sz w:val="18"/>
                <w:szCs w:val="18"/>
                <w:color w:val="auto"/>
              </w:rPr>
              <w:t>Delaware</w:t>
            </w:r>
          </w:p>
        </w:tc>
        <w:tc>
          <w:tcPr>
            <w:tcW w:w="4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7"/>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77"/>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5.</w:t>
            </w:r>
          </w:p>
        </w:tc>
        <w:tc>
          <w:tcPr>
            <w:tcW w:w="246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2040" w:type="dxa"/>
            <w:vAlign w:val="bottom"/>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6.</w:t>
            </w:r>
          </w:p>
        </w:tc>
        <w:tc>
          <w:tcPr>
            <w:tcW w:w="246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2040" w:type="dxa"/>
            <w:vAlign w:val="bottom"/>
          </w:tcPr>
          <w:p>
            <w:pPr>
              <w:ind w:left="460"/>
              <w:spacing w:after="0"/>
              <w:rPr>
                <w:sz w:val="20"/>
                <w:szCs w:val="20"/>
                <w:color w:val="auto"/>
              </w:rPr>
            </w:pPr>
            <w:r>
              <w:rPr>
                <w:rFonts w:ascii="Arial" w:cs="Arial" w:eastAsia="Arial" w:hAnsi="Arial"/>
                <w:sz w:val="18"/>
                <w:szCs w:val="18"/>
                <w:color w:val="auto"/>
              </w:rPr>
              <w:t>5,014,026 ORD</w:t>
            </w: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7"/>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7.</w:t>
            </w:r>
          </w:p>
        </w:tc>
        <w:tc>
          <w:tcPr>
            <w:tcW w:w="246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2040" w:type="dxa"/>
            <w:vAlign w:val="bottom"/>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28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rPr>
              <w:t>8.</w:t>
            </w:r>
          </w:p>
        </w:tc>
        <w:tc>
          <w:tcPr>
            <w:tcW w:w="246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2040" w:type="dxa"/>
            <w:vAlign w:val="bottom"/>
            <w:vMerge w:val="restart"/>
          </w:tcPr>
          <w:p>
            <w:pPr>
              <w:ind w:left="460"/>
              <w:spacing w:after="0"/>
              <w:rPr>
                <w:sz w:val="20"/>
                <w:szCs w:val="20"/>
                <w:color w:val="auto"/>
              </w:rPr>
            </w:pPr>
            <w:r>
              <w:rPr>
                <w:rFonts w:ascii="Arial" w:cs="Arial" w:eastAsia="Arial" w:hAnsi="Arial"/>
                <w:sz w:val="18"/>
                <w:szCs w:val="18"/>
                <w:color w:val="auto"/>
              </w:rPr>
              <w:t>5,720,951 ORD</w:t>
            </w: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4"/>
                <w:szCs w:val="24"/>
                <w:color w:val="auto"/>
              </w:rPr>
            </w:pPr>
          </w:p>
        </w:tc>
        <w:tc>
          <w:tcPr>
            <w:tcW w:w="1280" w:type="dxa"/>
            <w:vAlign w:val="bottom"/>
            <w:gridSpan w:val="2"/>
            <w:vMerge w:val="continue"/>
          </w:tcPr>
          <w:p>
            <w:pPr>
              <w:spacing w:after="0"/>
              <w:rPr>
                <w:sz w:val="24"/>
                <w:szCs w:val="24"/>
                <w:color w:val="auto"/>
              </w:rPr>
            </w:pPr>
          </w:p>
        </w:tc>
        <w:tc>
          <w:tcPr>
            <w:tcW w:w="2460" w:type="dxa"/>
            <w:vAlign w:val="bottom"/>
            <w:vMerge w:val="continue"/>
          </w:tcPr>
          <w:p>
            <w:pPr>
              <w:spacing w:after="0"/>
              <w:rPr>
                <w:sz w:val="24"/>
                <w:szCs w:val="24"/>
                <w:color w:val="auto"/>
              </w:rPr>
            </w:pPr>
          </w:p>
        </w:tc>
        <w:tc>
          <w:tcPr>
            <w:tcW w:w="2040" w:type="dxa"/>
            <w:vAlign w:val="bottom"/>
            <w:vMerge w:val="continue"/>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7"/>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5180" w:type="dxa"/>
            <w:vAlign w:val="bottom"/>
            <w:tcBorders>
              <w:bottom w:val="single" w:sz="8" w:color="auto"/>
            </w:tcBorders>
            <w:gridSpan w:val="3"/>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11"/>
        </w:trPr>
        <w:tc>
          <w:tcPr>
            <w:tcW w:w="1100" w:type="dxa"/>
            <w:vAlign w:val="bottom"/>
          </w:tcPr>
          <w:p>
            <w:pPr>
              <w:ind w:left="780"/>
              <w:spacing w:after="0"/>
              <w:rPr>
                <w:sz w:val="20"/>
                <w:szCs w:val="20"/>
                <w:color w:val="auto"/>
              </w:rPr>
            </w:pPr>
            <w:r>
              <w:rPr>
                <w:rFonts w:ascii="Arial" w:cs="Arial" w:eastAsia="Arial" w:hAnsi="Arial"/>
                <w:sz w:val="18"/>
                <w:szCs w:val="18"/>
                <w:color w:val="auto"/>
              </w:rPr>
              <w:t>9.</w:t>
            </w:r>
          </w:p>
        </w:tc>
        <w:tc>
          <w:tcPr>
            <w:tcW w:w="578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4360" w:type="dxa"/>
            <w:vAlign w:val="bottom"/>
          </w:tcPr>
          <w:p>
            <w:pPr>
              <w:ind w:left="440"/>
              <w:spacing w:after="0"/>
              <w:rPr>
                <w:sz w:val="20"/>
                <w:szCs w:val="20"/>
                <w:color w:val="auto"/>
              </w:rPr>
            </w:pPr>
            <w:r>
              <w:rPr>
                <w:rFonts w:ascii="Arial" w:cs="Arial" w:eastAsia="Arial" w:hAnsi="Arial"/>
                <w:sz w:val="18"/>
                <w:szCs w:val="18"/>
                <w:color w:val="auto"/>
                <w:w w:val="91"/>
              </w:rPr>
              <w:t>5,720,951 ORD shares are deemed to be beneficially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60" w:type="dxa"/>
            <w:vAlign w:val="bottom"/>
          </w:tcPr>
          <w:p>
            <w:pPr>
              <w:spacing w:after="0"/>
              <w:rPr>
                <w:sz w:val="18"/>
                <w:szCs w:val="18"/>
                <w:color w:val="auto"/>
              </w:rPr>
            </w:pPr>
          </w:p>
        </w:tc>
        <w:tc>
          <w:tcPr>
            <w:tcW w:w="2040" w:type="dxa"/>
            <w:vAlign w:val="bottom"/>
          </w:tcPr>
          <w:p>
            <w:pPr>
              <w:spacing w:after="0"/>
              <w:rPr>
                <w:sz w:val="18"/>
                <w:szCs w:val="18"/>
                <w:color w:val="auto"/>
              </w:rPr>
            </w:pPr>
          </w:p>
        </w:tc>
        <w:tc>
          <w:tcPr>
            <w:tcW w:w="4360" w:type="dxa"/>
            <w:vAlign w:val="bottom"/>
          </w:tcPr>
          <w:p>
            <w:pPr>
              <w:ind w:left="440"/>
              <w:spacing w:after="0"/>
              <w:rPr>
                <w:sz w:val="20"/>
                <w:szCs w:val="20"/>
                <w:color w:val="auto"/>
              </w:rPr>
            </w:pPr>
            <w:r>
              <w:rPr>
                <w:rFonts w:ascii="Arial" w:cs="Arial" w:eastAsia="Arial" w:hAnsi="Arial"/>
                <w:sz w:val="18"/>
                <w:szCs w:val="18"/>
                <w:color w:val="auto"/>
                <w:w w:val="97"/>
              </w:rPr>
              <w:t>owned by Brandes Worldwide Holdings, L.P., as a</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60" w:type="dxa"/>
            <w:vAlign w:val="bottom"/>
          </w:tcPr>
          <w:p>
            <w:pPr>
              <w:spacing w:after="0"/>
              <w:rPr>
                <w:sz w:val="20"/>
                <w:szCs w:val="20"/>
                <w:color w:val="auto"/>
              </w:rPr>
            </w:pPr>
          </w:p>
        </w:tc>
        <w:tc>
          <w:tcPr>
            <w:tcW w:w="2040" w:type="dxa"/>
            <w:vAlign w:val="bottom"/>
          </w:tcPr>
          <w:p>
            <w:pPr>
              <w:spacing w:after="0"/>
              <w:rPr>
                <w:sz w:val="20"/>
                <w:szCs w:val="20"/>
                <w:color w:val="auto"/>
              </w:rPr>
            </w:pPr>
          </w:p>
        </w:tc>
        <w:tc>
          <w:tcPr>
            <w:tcW w:w="4360" w:type="dxa"/>
            <w:vAlign w:val="bottom"/>
          </w:tcPr>
          <w:p>
            <w:pPr>
              <w:ind w:left="440"/>
              <w:spacing w:after="0"/>
              <w:rPr>
                <w:sz w:val="20"/>
                <w:szCs w:val="20"/>
                <w:color w:val="auto"/>
              </w:rPr>
            </w:pPr>
            <w:r>
              <w:rPr>
                <w:rFonts w:ascii="Arial" w:cs="Arial" w:eastAsia="Arial" w:hAnsi="Arial"/>
                <w:sz w:val="18"/>
                <w:szCs w:val="18"/>
                <w:color w:val="auto"/>
                <w:w w:val="98"/>
              </w:rPr>
              <w:t>control person of the investment adviser. Brandes</w:t>
            </w:r>
          </w:p>
        </w:tc>
        <w:tc>
          <w:tcPr>
            <w:tcW w:w="0" w:type="dxa"/>
            <w:vAlign w:val="bottom"/>
          </w:tcPr>
          <w:p>
            <w:pPr>
              <w:spacing w:after="0"/>
              <w:rPr>
                <w:sz w:val="1"/>
                <w:szCs w:val="1"/>
                <w:color w:val="auto"/>
              </w:rPr>
            </w:pPr>
          </w:p>
        </w:tc>
      </w:tr>
    </w:tbl>
    <w:p>
      <w:pPr>
        <w:ind w:left="7320"/>
        <w:spacing w:after="0"/>
        <w:rPr>
          <w:sz w:val="20"/>
          <w:szCs w:val="20"/>
          <w:color w:val="auto"/>
        </w:rPr>
      </w:pPr>
      <w:r>
        <w:rPr>
          <w:rFonts w:ascii="Arial" w:cs="Arial" w:eastAsia="Arial" w:hAnsi="Arial"/>
          <w:sz w:val="18"/>
          <w:szCs w:val="18"/>
          <w:color w:val="auto"/>
        </w:rPr>
        <w:t>Worldwide Holdings, L.P. disclaims any direct</w:t>
      </w:r>
    </w:p>
    <w:p>
      <w:pPr>
        <w:spacing w:after="0" w:line="9" w:lineRule="exact"/>
        <w:rPr>
          <w:sz w:val="20"/>
          <w:szCs w:val="20"/>
          <w:color w:val="auto"/>
        </w:rPr>
      </w:pPr>
    </w:p>
    <w:p>
      <w:pPr>
        <w:ind w:left="7320"/>
        <w:spacing w:after="0"/>
        <w:rPr>
          <w:sz w:val="20"/>
          <w:szCs w:val="20"/>
          <w:color w:val="auto"/>
        </w:rPr>
      </w:pPr>
      <w:r>
        <w:rPr>
          <w:rFonts w:ascii="Arial" w:cs="Arial" w:eastAsia="Arial" w:hAnsi="Arial"/>
          <w:sz w:val="17"/>
          <w:szCs w:val="17"/>
          <w:color w:val="auto"/>
        </w:rPr>
        <w:t>ownership of the shares reported in this Schedule</w:t>
      </w:r>
    </w:p>
    <w:p>
      <w:pPr>
        <w:spacing w:after="0" w:line="21" w:lineRule="exact"/>
        <w:rPr>
          <w:sz w:val="20"/>
          <w:szCs w:val="20"/>
          <w:color w:val="auto"/>
        </w:rPr>
      </w:pPr>
    </w:p>
    <w:p>
      <w:pPr>
        <w:ind w:left="7320"/>
        <w:spacing w:after="0"/>
        <w:rPr>
          <w:sz w:val="20"/>
          <w:szCs w:val="20"/>
          <w:color w:val="auto"/>
        </w:rPr>
      </w:pPr>
      <w:r>
        <w:rPr>
          <w:rFonts w:ascii="Arial" w:cs="Arial" w:eastAsia="Arial" w:hAnsi="Arial"/>
          <w:sz w:val="18"/>
          <w:szCs w:val="18"/>
          <w:color w:val="auto"/>
        </w:rPr>
        <w:t>13G.</w:t>
      </w:r>
    </w:p>
    <w:p>
      <w:pPr>
        <w:spacing w:after="0" w:line="178" w:lineRule="exact"/>
        <w:rPr>
          <w:sz w:val="20"/>
          <w:szCs w:val="20"/>
          <w:color w:val="auto"/>
        </w:rPr>
      </w:pPr>
    </w:p>
    <w:p>
      <w:pPr>
        <w:ind w:left="1120" w:hanging="463"/>
        <w:spacing w:after="0" w:line="207" w:lineRule="exact"/>
        <w:tabs>
          <w:tab w:leader="none" w:pos="1120" w:val="left"/>
        </w:tabs>
        <w:numPr>
          <w:ilvl w:val="0"/>
          <w:numId w:val="8"/>
        </w:numPr>
        <w:rPr>
          <w:rFonts w:ascii="Arial" w:cs="Arial" w:eastAsia="Arial" w:hAnsi="Arial"/>
          <w:sz w:val="18"/>
          <w:szCs w:val="18"/>
          <w:color w:val="auto"/>
        </w:rPr>
      </w:pPr>
      <w:r>
        <w:rPr>
          <w:rFonts w:ascii="Arial" w:cs="Arial" w:eastAsia="Arial" w:hAnsi="Arial"/>
          <w:sz w:val="18"/>
          <w:szCs w:val="18"/>
          <w:color w:val="auto"/>
        </w:rPr>
        <w:t>Check if the Aggregate Amount in Row (9) Excludes Certain Shares (See Instructions)</w:t>
      </w:r>
      <w:r>
        <w:rPr>
          <w:rFonts w:ascii="MS PGothic" w:cs="MS PGothic" w:eastAsia="MS PGothic" w:hAnsi="MS PGothic"/>
          <w:sz w:val="18"/>
          <w:szCs w:val="18"/>
          <w:color w:val="auto"/>
        </w:rPr>
        <w:t>☐</w:t>
      </w:r>
    </w:p>
    <w:p>
      <w:pPr>
        <w:spacing w:after="0" w:line="25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02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11.</w:t>
            </w:r>
          </w:p>
        </w:tc>
        <w:tc>
          <w:tcPr>
            <w:tcW w:w="398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w w:val="91"/>
              </w:rPr>
              <w:t>Percent of Class Represented by Amount in Row (9)</w:t>
            </w:r>
          </w:p>
        </w:tc>
        <w:tc>
          <w:tcPr>
            <w:tcW w:w="6240" w:type="dxa"/>
            <w:vAlign w:val="bottom"/>
            <w:tcBorders>
              <w:bottom w:val="single" w:sz="8" w:color="auto"/>
            </w:tcBorders>
          </w:tcPr>
          <w:p>
            <w:pPr>
              <w:jc w:val="right"/>
              <w:ind w:right="4930"/>
              <w:spacing w:after="0"/>
              <w:rPr>
                <w:sz w:val="20"/>
                <w:szCs w:val="20"/>
                <w:color w:val="auto"/>
              </w:rPr>
            </w:pPr>
            <w:r>
              <w:rPr>
                <w:rFonts w:ascii="Arial" w:cs="Arial" w:eastAsia="Arial" w:hAnsi="Arial"/>
                <w:sz w:val="18"/>
                <w:szCs w:val="18"/>
                <w:color w:val="auto"/>
              </w:rPr>
              <w:t>18.41 %</w:t>
            </w:r>
          </w:p>
        </w:tc>
      </w:tr>
      <w:tr>
        <w:trPr>
          <w:trHeight w:val="425"/>
        </w:trPr>
        <w:tc>
          <w:tcPr>
            <w:tcW w:w="102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12.</w:t>
            </w:r>
          </w:p>
        </w:tc>
        <w:tc>
          <w:tcPr>
            <w:tcW w:w="398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rPr>
              <w:t>Type of Reporting Person (See Instructions)</w:t>
            </w:r>
          </w:p>
        </w:tc>
        <w:tc>
          <w:tcPr>
            <w:tcW w:w="6240" w:type="dxa"/>
            <w:vAlign w:val="bottom"/>
            <w:tcBorders>
              <w:bottom w:val="single" w:sz="8" w:color="auto"/>
            </w:tcBorders>
          </w:tcPr>
          <w:p>
            <w:pPr>
              <w:jc w:val="right"/>
              <w:ind w:right="4250"/>
              <w:spacing w:after="0"/>
              <w:rPr>
                <w:sz w:val="20"/>
                <w:szCs w:val="20"/>
                <w:color w:val="auto"/>
              </w:rPr>
            </w:pPr>
            <w:r>
              <w:rPr>
                <w:rFonts w:ascii="Arial" w:cs="Arial" w:eastAsia="Arial" w:hAnsi="Arial"/>
                <w:sz w:val="18"/>
                <w:szCs w:val="18"/>
                <w:color w:val="auto"/>
                <w:w w:val="93"/>
              </w:rPr>
              <w:t>PN, OO (Control Person)</w:t>
            </w:r>
          </w:p>
        </w:tc>
      </w:tr>
      <w:tr>
        <w:trPr>
          <w:trHeight w:val="669"/>
        </w:trPr>
        <w:tc>
          <w:tcPr>
            <w:tcW w:w="1020" w:type="dxa"/>
            <w:vAlign w:val="bottom"/>
            <w:tcBorders>
              <w:bottom w:val="single" w:sz="8" w:color="auto"/>
            </w:tcBorders>
          </w:tcPr>
          <w:p>
            <w:pPr>
              <w:spacing w:after="0"/>
              <w:rPr>
                <w:sz w:val="24"/>
                <w:szCs w:val="24"/>
                <w:color w:val="auto"/>
              </w:rPr>
            </w:pPr>
          </w:p>
        </w:tc>
        <w:tc>
          <w:tcPr>
            <w:tcW w:w="3980" w:type="dxa"/>
            <w:vAlign w:val="bottom"/>
            <w:tcBorders>
              <w:bottom w:val="single" w:sz="8" w:color="auto"/>
            </w:tcBorders>
          </w:tcPr>
          <w:p>
            <w:pPr>
              <w:spacing w:after="0"/>
              <w:rPr>
                <w:sz w:val="24"/>
                <w:szCs w:val="24"/>
                <w:color w:val="auto"/>
              </w:rPr>
            </w:pPr>
          </w:p>
        </w:tc>
        <w:tc>
          <w:tcPr>
            <w:tcW w:w="62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490" w:right="339" w:bottom="1440" w:gutter="0" w:footer="0" w:header="0"/>
        </w:sectPr>
      </w:pPr>
    </w:p>
    <w:bookmarkStart w:id="4" w:name="page5"/>
    <w:bookmarkEnd w:id="4"/>
    <w:p>
      <w:pPr>
        <w:jc w:val="right"/>
        <w:spacing w:after="0"/>
        <w:rPr>
          <w:sz w:val="20"/>
          <w:szCs w:val="20"/>
          <w:color w:val="auto"/>
        </w:rPr>
      </w:pPr>
      <w:r>
        <w:rPr>
          <w:rFonts w:ascii="Arial" w:cs="Arial" w:eastAsia="Arial" w:hAnsi="Arial"/>
          <w:sz w:val="18"/>
          <w:szCs w:val="18"/>
          <w:color w:val="auto"/>
        </w:rPr>
        <w:t>Page 5 of 12</w:t>
      </w:r>
    </w:p>
    <w:p>
      <w:pPr>
        <w:spacing w:after="0" w:line="200" w:lineRule="exact"/>
        <w:rPr>
          <w:sz w:val="20"/>
          <w:szCs w:val="20"/>
          <w:color w:val="auto"/>
        </w:rPr>
      </w:pPr>
    </w:p>
    <w:p>
      <w:pPr>
        <w:spacing w:after="0" w:line="2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20" w:type="dxa"/>
            <w:vAlign w:val="bottom"/>
          </w:tcPr>
          <w:p>
            <w:pPr>
              <w:jc w:val="right"/>
              <w:ind w:right="110"/>
              <w:spacing w:after="0"/>
              <w:rPr>
                <w:sz w:val="20"/>
                <w:szCs w:val="20"/>
                <w:color w:val="auto"/>
              </w:rPr>
            </w:pPr>
            <w:r>
              <w:rPr>
                <w:rFonts w:ascii="Arial" w:cs="Arial" w:eastAsia="Arial" w:hAnsi="Arial"/>
                <w:sz w:val="18"/>
                <w:szCs w:val="18"/>
                <w:color w:val="auto"/>
                <w:w w:val="90"/>
              </w:rPr>
              <w:t>CUSIP No.</w:t>
            </w:r>
          </w:p>
        </w:tc>
        <w:tc>
          <w:tcPr>
            <w:tcW w:w="3260" w:type="dxa"/>
            <w:vAlign w:val="bottom"/>
          </w:tcPr>
          <w:p>
            <w:pPr>
              <w:ind w:left="680"/>
              <w:spacing w:after="0"/>
              <w:rPr>
                <w:sz w:val="20"/>
                <w:szCs w:val="20"/>
                <w:color w:val="auto"/>
              </w:rPr>
            </w:pPr>
            <w:r>
              <w:rPr>
                <w:rFonts w:ascii="Arial" w:cs="Arial" w:eastAsia="Arial" w:hAnsi="Arial"/>
                <w:sz w:val="18"/>
                <w:szCs w:val="18"/>
                <w:b w:val="1"/>
                <w:bCs w:val="1"/>
                <w:color w:val="auto"/>
              </w:rPr>
              <w:t>P16994132</w:t>
            </w:r>
          </w:p>
        </w:tc>
        <w:tc>
          <w:tcPr>
            <w:tcW w:w="6960" w:type="dxa"/>
            <w:vAlign w:val="bottom"/>
          </w:tcPr>
          <w:p>
            <w:pPr>
              <w:spacing w:after="0"/>
              <w:rPr>
                <w:sz w:val="20"/>
                <w:szCs w:val="20"/>
                <w:color w:val="auto"/>
              </w:rPr>
            </w:pPr>
          </w:p>
        </w:tc>
      </w:tr>
      <w:tr>
        <w:trPr>
          <w:trHeight w:val="216"/>
        </w:trPr>
        <w:tc>
          <w:tcPr>
            <w:tcW w:w="1020" w:type="dxa"/>
            <w:vAlign w:val="bottom"/>
            <w:tcBorders>
              <w:bottom w:val="single" w:sz="8" w:color="auto"/>
            </w:tcBorders>
          </w:tcPr>
          <w:p>
            <w:pPr>
              <w:spacing w:after="0"/>
              <w:rPr>
                <w:sz w:val="18"/>
                <w:szCs w:val="18"/>
                <w:color w:val="auto"/>
              </w:rPr>
            </w:pPr>
          </w:p>
        </w:tc>
        <w:tc>
          <w:tcPr>
            <w:tcW w:w="3260" w:type="dxa"/>
            <w:vAlign w:val="bottom"/>
            <w:tcBorders>
              <w:bottom w:val="single" w:sz="8" w:color="auto"/>
            </w:tcBorders>
          </w:tcPr>
          <w:p>
            <w:pPr>
              <w:spacing w:after="0"/>
              <w:rPr>
                <w:sz w:val="18"/>
                <w:szCs w:val="18"/>
                <w:color w:val="auto"/>
              </w:rPr>
            </w:pPr>
          </w:p>
        </w:tc>
        <w:tc>
          <w:tcPr>
            <w:tcW w:w="6960" w:type="dxa"/>
            <w:vAlign w:val="bottom"/>
            <w:tcBorders>
              <w:bottom w:val="single" w:sz="8" w:color="auto"/>
            </w:tcBorders>
          </w:tcPr>
          <w:p>
            <w:pPr>
              <w:spacing w:after="0"/>
              <w:rPr>
                <w:sz w:val="18"/>
                <w:szCs w:val="18"/>
                <w:color w:val="auto"/>
              </w:rPr>
            </w:pPr>
          </w:p>
        </w:tc>
      </w:tr>
      <w:tr>
        <w:trPr>
          <w:trHeight w:val="263"/>
        </w:trPr>
        <w:tc>
          <w:tcPr>
            <w:tcW w:w="1020" w:type="dxa"/>
            <w:vAlign w:val="bottom"/>
          </w:tcPr>
          <w:p>
            <w:pPr>
              <w:jc w:val="right"/>
              <w:ind w:right="30"/>
              <w:spacing w:after="0"/>
              <w:rPr>
                <w:sz w:val="20"/>
                <w:szCs w:val="20"/>
                <w:color w:val="auto"/>
              </w:rPr>
            </w:pPr>
            <w:r>
              <w:rPr>
                <w:rFonts w:ascii="Arial" w:cs="Arial" w:eastAsia="Arial" w:hAnsi="Arial"/>
                <w:sz w:val="18"/>
                <w:szCs w:val="18"/>
                <w:color w:val="auto"/>
              </w:rPr>
              <w:t>1.</w:t>
            </w:r>
          </w:p>
        </w:tc>
        <w:tc>
          <w:tcPr>
            <w:tcW w:w="3260" w:type="dxa"/>
            <w:vAlign w:val="bottom"/>
          </w:tcPr>
          <w:p>
            <w:pPr>
              <w:ind w:left="120"/>
              <w:spacing w:after="0"/>
              <w:rPr>
                <w:sz w:val="20"/>
                <w:szCs w:val="20"/>
                <w:color w:val="auto"/>
              </w:rPr>
            </w:pPr>
            <w:r>
              <w:rPr>
                <w:rFonts w:ascii="Arial" w:cs="Arial" w:eastAsia="Arial" w:hAnsi="Arial"/>
                <w:sz w:val="18"/>
                <w:szCs w:val="18"/>
                <w:color w:val="auto"/>
              </w:rPr>
              <w:t>Names of Reporting Persons.</w:t>
            </w:r>
          </w:p>
        </w:tc>
        <w:tc>
          <w:tcPr>
            <w:tcW w:w="6960" w:type="dxa"/>
            <w:vAlign w:val="bottom"/>
          </w:tcPr>
          <w:p>
            <w:pPr>
              <w:ind w:left="1020"/>
              <w:spacing w:after="0"/>
              <w:rPr>
                <w:sz w:val="20"/>
                <w:szCs w:val="20"/>
                <w:color w:val="auto"/>
              </w:rPr>
            </w:pPr>
            <w:r>
              <w:rPr>
                <w:rFonts w:ascii="Arial" w:cs="Arial" w:eastAsia="Arial" w:hAnsi="Arial"/>
                <w:sz w:val="18"/>
                <w:szCs w:val="18"/>
                <w:color w:val="auto"/>
              </w:rPr>
              <w:t>Glenn Carlson</w:t>
            </w:r>
          </w:p>
        </w:tc>
      </w:tr>
      <w:tr>
        <w:trPr>
          <w:trHeight w:val="230"/>
        </w:trPr>
        <w:tc>
          <w:tcPr>
            <w:tcW w:w="1020" w:type="dxa"/>
            <w:vAlign w:val="bottom"/>
          </w:tcPr>
          <w:p>
            <w:pPr>
              <w:spacing w:after="0"/>
              <w:rPr>
                <w:sz w:val="20"/>
                <w:szCs w:val="20"/>
                <w:color w:val="auto"/>
              </w:rPr>
            </w:pPr>
          </w:p>
        </w:tc>
        <w:tc>
          <w:tcPr>
            <w:tcW w:w="10220" w:type="dxa"/>
            <w:vAlign w:val="bottom"/>
            <w:gridSpan w:val="2"/>
          </w:tcPr>
          <w:p>
            <w:pPr>
              <w:ind w:left="120"/>
              <w:spacing w:after="0"/>
              <w:rPr>
                <w:sz w:val="20"/>
                <w:szCs w:val="20"/>
                <w:color w:val="auto"/>
              </w:rPr>
            </w:pPr>
            <w:r>
              <w:rPr>
                <w:rFonts w:ascii="Arial" w:cs="Arial" w:eastAsia="Arial" w:hAnsi="Arial"/>
                <w:sz w:val="18"/>
                <w:szCs w:val="18"/>
                <w:color w:val="auto"/>
              </w:rPr>
              <w:t>I.R.S. Identification Nos. of above persons (entities only).</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43180</wp:posOffset>
            </wp:positionV>
            <wp:extent cx="7132320" cy="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14" w:lineRule="exact"/>
        <w:rPr>
          <w:sz w:val="20"/>
          <w:szCs w:val="20"/>
          <w:color w:val="auto"/>
        </w:rPr>
      </w:pPr>
    </w:p>
    <w:p>
      <w:pPr>
        <w:ind w:left="1140" w:hanging="366"/>
        <w:spacing w:after="0"/>
        <w:tabs>
          <w:tab w:leader="none" w:pos="1140" w:val="left"/>
        </w:tabs>
        <w:numPr>
          <w:ilvl w:val="0"/>
          <w:numId w:val="9"/>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380" w:hanging="238"/>
        <w:spacing w:after="0" w:line="207" w:lineRule="exact"/>
        <w:tabs>
          <w:tab w:leader="none" w:pos="1380" w:val="left"/>
        </w:tabs>
        <w:numPr>
          <w:ilvl w:val="1"/>
          <w:numId w:val="9"/>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00" w:hanging="258"/>
        <w:spacing w:after="0" w:line="207" w:lineRule="exact"/>
        <w:tabs>
          <w:tab w:leader="none" w:pos="1400" w:val="left"/>
        </w:tabs>
        <w:numPr>
          <w:ilvl w:val="1"/>
          <w:numId w:val="9"/>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41" w:lineRule="exact"/>
        <w:rPr>
          <w:rFonts w:ascii="Arial" w:cs="Arial" w:eastAsia="Arial" w:hAnsi="Arial"/>
          <w:sz w:val="18"/>
          <w:szCs w:val="18"/>
          <w:color w:val="auto"/>
        </w:rPr>
      </w:pPr>
    </w:p>
    <w:p>
      <w:pPr>
        <w:ind w:left="1140" w:hanging="366"/>
        <w:spacing w:after="0"/>
        <w:tabs>
          <w:tab w:leader="none" w:pos="1140" w:val="left"/>
        </w:tabs>
        <w:numPr>
          <w:ilvl w:val="0"/>
          <w:numId w:val="9"/>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132320"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-173355</wp:posOffset>
            </wp:positionV>
            <wp:extent cx="7132320" cy="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ind w:left="780"/>
              <w:spacing w:after="0"/>
              <w:rPr>
                <w:sz w:val="20"/>
                <w:szCs w:val="20"/>
                <w:color w:val="auto"/>
              </w:rPr>
            </w:pPr>
            <w:r>
              <w:rPr>
                <w:rFonts w:ascii="Arial" w:cs="Arial" w:eastAsia="Arial" w:hAnsi="Arial"/>
                <w:sz w:val="18"/>
                <w:szCs w:val="18"/>
                <w:color w:val="auto"/>
              </w:rPr>
              <w:t>4.</w:t>
            </w:r>
          </w:p>
        </w:tc>
        <w:tc>
          <w:tcPr>
            <w:tcW w:w="3740" w:type="dxa"/>
            <w:vAlign w:val="bottom"/>
            <w:gridSpan w:val="3"/>
          </w:tcPr>
          <w:p>
            <w:pPr>
              <w:ind w:left="40"/>
              <w:spacing w:after="0"/>
              <w:rPr>
                <w:sz w:val="20"/>
                <w:szCs w:val="20"/>
                <w:color w:val="auto"/>
              </w:rPr>
            </w:pPr>
            <w:r>
              <w:rPr>
                <w:rFonts w:ascii="Arial" w:cs="Arial" w:eastAsia="Arial" w:hAnsi="Arial"/>
                <w:sz w:val="18"/>
                <w:szCs w:val="18"/>
                <w:color w:val="auto"/>
              </w:rPr>
              <w:t>Citizenship or Place of Organization</w:t>
            </w:r>
          </w:p>
        </w:tc>
        <w:tc>
          <w:tcPr>
            <w:tcW w:w="2040" w:type="dxa"/>
            <w:vAlign w:val="bottom"/>
          </w:tcPr>
          <w:p>
            <w:pPr>
              <w:ind w:left="460"/>
              <w:spacing w:after="0"/>
              <w:rPr>
                <w:sz w:val="20"/>
                <w:szCs w:val="20"/>
                <w:color w:val="auto"/>
              </w:rPr>
            </w:pPr>
            <w:r>
              <w:rPr>
                <w:rFonts w:ascii="Arial" w:cs="Arial" w:eastAsia="Arial" w:hAnsi="Arial"/>
                <w:sz w:val="18"/>
                <w:szCs w:val="18"/>
                <w:color w:val="auto"/>
              </w:rPr>
              <w:t>USA</w:t>
            </w:r>
          </w:p>
        </w:tc>
        <w:tc>
          <w:tcPr>
            <w:tcW w:w="4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7"/>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77"/>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5.</w:t>
            </w:r>
          </w:p>
        </w:tc>
        <w:tc>
          <w:tcPr>
            <w:tcW w:w="246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2040" w:type="dxa"/>
            <w:vAlign w:val="bottom"/>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6.</w:t>
            </w:r>
          </w:p>
        </w:tc>
        <w:tc>
          <w:tcPr>
            <w:tcW w:w="246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2040" w:type="dxa"/>
            <w:vAlign w:val="bottom"/>
          </w:tcPr>
          <w:p>
            <w:pPr>
              <w:ind w:left="460"/>
              <w:spacing w:after="0"/>
              <w:rPr>
                <w:sz w:val="20"/>
                <w:szCs w:val="20"/>
                <w:color w:val="auto"/>
              </w:rPr>
            </w:pPr>
            <w:r>
              <w:rPr>
                <w:rFonts w:ascii="Arial" w:cs="Arial" w:eastAsia="Arial" w:hAnsi="Arial"/>
                <w:sz w:val="18"/>
                <w:szCs w:val="18"/>
                <w:color w:val="auto"/>
              </w:rPr>
              <w:t>5,014,026 ORD</w:t>
            </w: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7"/>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7.</w:t>
            </w:r>
          </w:p>
        </w:tc>
        <w:tc>
          <w:tcPr>
            <w:tcW w:w="246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2040" w:type="dxa"/>
            <w:vAlign w:val="bottom"/>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28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rPr>
              <w:t>8.</w:t>
            </w:r>
          </w:p>
        </w:tc>
        <w:tc>
          <w:tcPr>
            <w:tcW w:w="246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2040" w:type="dxa"/>
            <w:vAlign w:val="bottom"/>
            <w:vMerge w:val="restart"/>
          </w:tcPr>
          <w:p>
            <w:pPr>
              <w:ind w:left="460"/>
              <w:spacing w:after="0"/>
              <w:rPr>
                <w:sz w:val="20"/>
                <w:szCs w:val="20"/>
                <w:color w:val="auto"/>
              </w:rPr>
            </w:pPr>
            <w:r>
              <w:rPr>
                <w:rFonts w:ascii="Arial" w:cs="Arial" w:eastAsia="Arial" w:hAnsi="Arial"/>
                <w:sz w:val="18"/>
                <w:szCs w:val="18"/>
                <w:color w:val="auto"/>
              </w:rPr>
              <w:t>5,720,951 ORD</w:t>
            </w: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4"/>
                <w:szCs w:val="24"/>
                <w:color w:val="auto"/>
              </w:rPr>
            </w:pPr>
          </w:p>
        </w:tc>
        <w:tc>
          <w:tcPr>
            <w:tcW w:w="1280" w:type="dxa"/>
            <w:vAlign w:val="bottom"/>
            <w:gridSpan w:val="2"/>
            <w:vMerge w:val="continue"/>
          </w:tcPr>
          <w:p>
            <w:pPr>
              <w:spacing w:after="0"/>
              <w:rPr>
                <w:sz w:val="24"/>
                <w:szCs w:val="24"/>
                <w:color w:val="auto"/>
              </w:rPr>
            </w:pPr>
          </w:p>
        </w:tc>
        <w:tc>
          <w:tcPr>
            <w:tcW w:w="2460" w:type="dxa"/>
            <w:vAlign w:val="bottom"/>
            <w:vMerge w:val="continue"/>
          </w:tcPr>
          <w:p>
            <w:pPr>
              <w:spacing w:after="0"/>
              <w:rPr>
                <w:sz w:val="24"/>
                <w:szCs w:val="24"/>
                <w:color w:val="auto"/>
              </w:rPr>
            </w:pPr>
          </w:p>
        </w:tc>
        <w:tc>
          <w:tcPr>
            <w:tcW w:w="2040" w:type="dxa"/>
            <w:vAlign w:val="bottom"/>
            <w:vMerge w:val="continue"/>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7"/>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5180" w:type="dxa"/>
            <w:vAlign w:val="bottom"/>
            <w:tcBorders>
              <w:bottom w:val="single" w:sz="8" w:color="auto"/>
            </w:tcBorders>
            <w:gridSpan w:val="3"/>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11"/>
        </w:trPr>
        <w:tc>
          <w:tcPr>
            <w:tcW w:w="1100" w:type="dxa"/>
            <w:vAlign w:val="bottom"/>
          </w:tcPr>
          <w:p>
            <w:pPr>
              <w:ind w:left="780"/>
              <w:spacing w:after="0"/>
              <w:rPr>
                <w:sz w:val="20"/>
                <w:szCs w:val="20"/>
                <w:color w:val="auto"/>
              </w:rPr>
            </w:pPr>
            <w:r>
              <w:rPr>
                <w:rFonts w:ascii="Arial" w:cs="Arial" w:eastAsia="Arial" w:hAnsi="Arial"/>
                <w:sz w:val="18"/>
                <w:szCs w:val="18"/>
                <w:color w:val="auto"/>
              </w:rPr>
              <w:t>9.</w:t>
            </w:r>
          </w:p>
        </w:tc>
        <w:tc>
          <w:tcPr>
            <w:tcW w:w="578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4360" w:type="dxa"/>
            <w:vAlign w:val="bottom"/>
          </w:tcPr>
          <w:p>
            <w:pPr>
              <w:ind w:left="440"/>
              <w:spacing w:after="0"/>
              <w:rPr>
                <w:sz w:val="20"/>
                <w:szCs w:val="20"/>
                <w:color w:val="auto"/>
              </w:rPr>
            </w:pPr>
            <w:r>
              <w:rPr>
                <w:rFonts w:ascii="Arial" w:cs="Arial" w:eastAsia="Arial" w:hAnsi="Arial"/>
                <w:sz w:val="18"/>
                <w:szCs w:val="18"/>
                <w:color w:val="auto"/>
                <w:w w:val="91"/>
              </w:rPr>
              <w:t>5,720,951 ORD shares are deemed to be beneficially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60" w:type="dxa"/>
            <w:vAlign w:val="bottom"/>
          </w:tcPr>
          <w:p>
            <w:pPr>
              <w:spacing w:after="0"/>
              <w:rPr>
                <w:sz w:val="18"/>
                <w:szCs w:val="18"/>
                <w:color w:val="auto"/>
              </w:rPr>
            </w:pPr>
          </w:p>
        </w:tc>
        <w:tc>
          <w:tcPr>
            <w:tcW w:w="2040" w:type="dxa"/>
            <w:vAlign w:val="bottom"/>
          </w:tcPr>
          <w:p>
            <w:pPr>
              <w:spacing w:after="0"/>
              <w:rPr>
                <w:sz w:val="18"/>
                <w:szCs w:val="18"/>
                <w:color w:val="auto"/>
              </w:rPr>
            </w:pPr>
          </w:p>
        </w:tc>
        <w:tc>
          <w:tcPr>
            <w:tcW w:w="4360" w:type="dxa"/>
            <w:vAlign w:val="bottom"/>
          </w:tcPr>
          <w:p>
            <w:pPr>
              <w:ind w:left="440"/>
              <w:spacing w:after="0"/>
              <w:rPr>
                <w:sz w:val="20"/>
                <w:szCs w:val="20"/>
                <w:color w:val="auto"/>
              </w:rPr>
            </w:pPr>
            <w:r>
              <w:rPr>
                <w:rFonts w:ascii="Arial" w:cs="Arial" w:eastAsia="Arial" w:hAnsi="Arial"/>
                <w:sz w:val="18"/>
                <w:szCs w:val="18"/>
                <w:color w:val="auto"/>
              </w:rPr>
              <w:t>owned by Glenn Carlson, a control person of the</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60" w:type="dxa"/>
            <w:vAlign w:val="bottom"/>
          </w:tcPr>
          <w:p>
            <w:pPr>
              <w:spacing w:after="0"/>
              <w:rPr>
                <w:sz w:val="20"/>
                <w:szCs w:val="20"/>
                <w:color w:val="auto"/>
              </w:rPr>
            </w:pPr>
          </w:p>
        </w:tc>
        <w:tc>
          <w:tcPr>
            <w:tcW w:w="2040" w:type="dxa"/>
            <w:vAlign w:val="bottom"/>
          </w:tcPr>
          <w:p>
            <w:pPr>
              <w:spacing w:after="0"/>
              <w:rPr>
                <w:sz w:val="20"/>
                <w:szCs w:val="20"/>
                <w:color w:val="auto"/>
              </w:rPr>
            </w:pPr>
          </w:p>
        </w:tc>
        <w:tc>
          <w:tcPr>
            <w:tcW w:w="4360" w:type="dxa"/>
            <w:vAlign w:val="bottom"/>
          </w:tcPr>
          <w:p>
            <w:pPr>
              <w:ind w:left="440"/>
              <w:spacing w:after="0"/>
              <w:rPr>
                <w:sz w:val="20"/>
                <w:szCs w:val="20"/>
                <w:color w:val="auto"/>
              </w:rPr>
            </w:pPr>
            <w:r>
              <w:rPr>
                <w:rFonts w:ascii="Arial" w:cs="Arial" w:eastAsia="Arial" w:hAnsi="Arial"/>
                <w:sz w:val="18"/>
                <w:szCs w:val="18"/>
                <w:color w:val="auto"/>
                <w:w w:val="93"/>
              </w:rPr>
              <w:t>investment adviser. Mr. Carlson disclaims any direct</w:t>
            </w:r>
          </w:p>
        </w:tc>
        <w:tc>
          <w:tcPr>
            <w:tcW w:w="0" w:type="dxa"/>
            <w:vAlign w:val="bottom"/>
          </w:tcPr>
          <w:p>
            <w:pPr>
              <w:spacing w:after="0"/>
              <w:rPr>
                <w:sz w:val="1"/>
                <w:szCs w:val="1"/>
                <w:color w:val="auto"/>
              </w:rPr>
            </w:pPr>
          </w:p>
        </w:tc>
      </w:tr>
    </w:tbl>
    <w:p>
      <w:pPr>
        <w:ind w:left="7320"/>
        <w:spacing w:after="0"/>
        <w:rPr>
          <w:sz w:val="20"/>
          <w:szCs w:val="20"/>
          <w:color w:val="auto"/>
        </w:rPr>
      </w:pPr>
      <w:r>
        <w:rPr>
          <w:rFonts w:ascii="Arial" w:cs="Arial" w:eastAsia="Arial" w:hAnsi="Arial"/>
          <w:sz w:val="17"/>
          <w:szCs w:val="17"/>
          <w:color w:val="auto"/>
        </w:rPr>
        <w:t>ownership of the shares reported in Schedule 13G,</w:t>
      </w:r>
    </w:p>
    <w:p>
      <w:pPr>
        <w:spacing w:after="0" w:line="21" w:lineRule="exact"/>
        <w:rPr>
          <w:sz w:val="20"/>
          <w:szCs w:val="20"/>
          <w:color w:val="auto"/>
        </w:rPr>
      </w:pPr>
    </w:p>
    <w:p>
      <w:pPr>
        <w:ind w:left="7320"/>
        <w:spacing w:after="0"/>
        <w:rPr>
          <w:sz w:val="20"/>
          <w:szCs w:val="20"/>
          <w:color w:val="auto"/>
        </w:rPr>
      </w:pPr>
      <w:r>
        <w:rPr>
          <w:rFonts w:ascii="Arial" w:cs="Arial" w:eastAsia="Arial" w:hAnsi="Arial"/>
          <w:sz w:val="17"/>
          <w:szCs w:val="17"/>
          <w:color w:val="auto"/>
        </w:rPr>
        <w:t>except for the amount that is substantially less than</w:t>
      </w:r>
    </w:p>
    <w:p>
      <w:pPr>
        <w:spacing w:after="0" w:line="21" w:lineRule="exact"/>
        <w:rPr>
          <w:sz w:val="20"/>
          <w:szCs w:val="20"/>
          <w:color w:val="auto"/>
        </w:rPr>
      </w:pPr>
    </w:p>
    <w:p>
      <w:pPr>
        <w:ind w:left="7320"/>
        <w:spacing w:after="0"/>
        <w:rPr>
          <w:sz w:val="20"/>
          <w:szCs w:val="20"/>
          <w:color w:val="auto"/>
        </w:rPr>
      </w:pPr>
      <w:r>
        <w:rPr>
          <w:rFonts w:ascii="Arial" w:cs="Arial" w:eastAsia="Arial" w:hAnsi="Arial"/>
          <w:sz w:val="16"/>
          <w:szCs w:val="16"/>
          <w:color w:val="auto"/>
        </w:rPr>
        <w:t>one per cent of the number of shares reported herein.</w:t>
      </w:r>
    </w:p>
    <w:p>
      <w:pPr>
        <w:spacing w:after="0" w:line="201" w:lineRule="exact"/>
        <w:rPr>
          <w:sz w:val="20"/>
          <w:szCs w:val="20"/>
          <w:color w:val="auto"/>
        </w:rPr>
      </w:pPr>
    </w:p>
    <w:p>
      <w:pPr>
        <w:ind w:left="1120" w:hanging="463"/>
        <w:spacing w:after="0" w:line="207" w:lineRule="exact"/>
        <w:tabs>
          <w:tab w:leader="none" w:pos="1120" w:val="left"/>
        </w:tabs>
        <w:numPr>
          <w:ilvl w:val="0"/>
          <w:numId w:val="10"/>
        </w:numPr>
        <w:rPr>
          <w:rFonts w:ascii="Arial" w:cs="Arial" w:eastAsia="Arial" w:hAnsi="Arial"/>
          <w:sz w:val="18"/>
          <w:szCs w:val="18"/>
          <w:color w:val="auto"/>
        </w:rPr>
      </w:pPr>
      <w:r>
        <w:rPr>
          <w:rFonts w:ascii="Arial" w:cs="Arial" w:eastAsia="Arial" w:hAnsi="Arial"/>
          <w:sz w:val="18"/>
          <w:szCs w:val="18"/>
          <w:color w:val="auto"/>
        </w:rPr>
        <w:t>Check if the Aggregate Amount in Row (9) Excludes Certain Shares (See Instructions)</w:t>
      </w:r>
      <w:r>
        <w:rPr>
          <w:rFonts w:ascii="MS PGothic" w:cs="MS PGothic" w:eastAsia="MS PGothic" w:hAnsi="MS PGothic"/>
          <w:sz w:val="18"/>
          <w:szCs w:val="18"/>
          <w:color w:val="auto"/>
        </w:rPr>
        <w:t>☐</w:t>
      </w:r>
    </w:p>
    <w:p>
      <w:pPr>
        <w:spacing w:after="0" w:line="25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02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11.</w:t>
            </w:r>
          </w:p>
        </w:tc>
        <w:tc>
          <w:tcPr>
            <w:tcW w:w="398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w w:val="91"/>
              </w:rPr>
              <w:t>Percent of Class Represented by Amount in Row (9)</w:t>
            </w:r>
          </w:p>
        </w:tc>
        <w:tc>
          <w:tcPr>
            <w:tcW w:w="6240" w:type="dxa"/>
            <w:vAlign w:val="bottom"/>
            <w:tcBorders>
              <w:bottom w:val="single" w:sz="8" w:color="auto"/>
            </w:tcBorders>
          </w:tcPr>
          <w:p>
            <w:pPr>
              <w:jc w:val="right"/>
              <w:ind w:right="4970"/>
              <w:spacing w:after="0"/>
              <w:rPr>
                <w:sz w:val="20"/>
                <w:szCs w:val="20"/>
                <w:color w:val="auto"/>
              </w:rPr>
            </w:pPr>
            <w:r>
              <w:rPr>
                <w:rFonts w:ascii="Arial" w:cs="Arial" w:eastAsia="Arial" w:hAnsi="Arial"/>
                <w:sz w:val="18"/>
                <w:szCs w:val="18"/>
                <w:color w:val="auto"/>
              </w:rPr>
              <w:t>18.41%</w:t>
            </w:r>
          </w:p>
        </w:tc>
      </w:tr>
      <w:tr>
        <w:trPr>
          <w:trHeight w:val="425"/>
        </w:trPr>
        <w:tc>
          <w:tcPr>
            <w:tcW w:w="102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12.</w:t>
            </w:r>
          </w:p>
        </w:tc>
        <w:tc>
          <w:tcPr>
            <w:tcW w:w="398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rPr>
              <w:t>Type of Reporting Person (See Instructions)</w:t>
            </w:r>
          </w:p>
        </w:tc>
        <w:tc>
          <w:tcPr>
            <w:tcW w:w="6240" w:type="dxa"/>
            <w:vAlign w:val="bottom"/>
            <w:tcBorders>
              <w:bottom w:val="single" w:sz="8" w:color="auto"/>
            </w:tcBorders>
          </w:tcPr>
          <w:p>
            <w:pPr>
              <w:jc w:val="right"/>
              <w:ind w:right="4290"/>
              <w:spacing w:after="0"/>
              <w:rPr>
                <w:sz w:val="20"/>
                <w:szCs w:val="20"/>
                <w:color w:val="auto"/>
              </w:rPr>
            </w:pPr>
            <w:r>
              <w:rPr>
                <w:rFonts w:ascii="Arial" w:cs="Arial" w:eastAsia="Arial" w:hAnsi="Arial"/>
                <w:sz w:val="18"/>
                <w:szCs w:val="18"/>
                <w:color w:val="auto"/>
                <w:w w:val="95"/>
              </w:rPr>
              <w:t>IN, OO (Control Person)</w:t>
            </w:r>
          </w:p>
        </w:tc>
      </w:tr>
      <w:tr>
        <w:trPr>
          <w:trHeight w:val="669"/>
        </w:trPr>
        <w:tc>
          <w:tcPr>
            <w:tcW w:w="1020" w:type="dxa"/>
            <w:vAlign w:val="bottom"/>
            <w:tcBorders>
              <w:bottom w:val="single" w:sz="8" w:color="auto"/>
            </w:tcBorders>
          </w:tcPr>
          <w:p>
            <w:pPr>
              <w:spacing w:after="0"/>
              <w:rPr>
                <w:sz w:val="24"/>
                <w:szCs w:val="24"/>
                <w:color w:val="auto"/>
              </w:rPr>
            </w:pPr>
          </w:p>
        </w:tc>
        <w:tc>
          <w:tcPr>
            <w:tcW w:w="3980" w:type="dxa"/>
            <w:vAlign w:val="bottom"/>
            <w:tcBorders>
              <w:bottom w:val="single" w:sz="8" w:color="auto"/>
            </w:tcBorders>
          </w:tcPr>
          <w:p>
            <w:pPr>
              <w:spacing w:after="0"/>
              <w:rPr>
                <w:sz w:val="24"/>
                <w:szCs w:val="24"/>
                <w:color w:val="auto"/>
              </w:rPr>
            </w:pPr>
          </w:p>
        </w:tc>
        <w:tc>
          <w:tcPr>
            <w:tcW w:w="62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490" w:right="339" w:bottom="1440" w:gutter="0" w:footer="0" w:header="0"/>
        </w:sectPr>
      </w:pPr>
    </w:p>
    <w:bookmarkStart w:id="5" w:name="page6"/>
    <w:bookmarkEnd w:id="5"/>
    <w:p>
      <w:pPr>
        <w:jc w:val="right"/>
        <w:spacing w:after="0"/>
        <w:rPr>
          <w:sz w:val="20"/>
          <w:szCs w:val="20"/>
          <w:color w:val="auto"/>
        </w:rPr>
      </w:pPr>
      <w:r>
        <w:rPr>
          <w:rFonts w:ascii="Arial" w:cs="Arial" w:eastAsia="Arial" w:hAnsi="Arial"/>
          <w:sz w:val="18"/>
          <w:szCs w:val="18"/>
          <w:color w:val="auto"/>
        </w:rPr>
        <w:t>Page 6 of 12</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1(a)</w:t>
      </w:r>
      <w:r>
        <w:rPr>
          <w:sz w:val="20"/>
          <w:szCs w:val="20"/>
          <w:color w:val="auto"/>
        </w:rPr>
        <w:tab/>
      </w:r>
      <w:r>
        <w:rPr>
          <w:rFonts w:ascii="Arial" w:cs="Arial" w:eastAsia="Arial" w:hAnsi="Arial"/>
          <w:sz w:val="16"/>
          <w:szCs w:val="16"/>
          <w:color w:val="auto"/>
        </w:rPr>
        <w:t>Name of Issuer:</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Foreign Trade Bank of Latin America, Inc.</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1(b)</w:t>
      </w:r>
      <w:r>
        <w:rPr>
          <w:sz w:val="20"/>
          <w:szCs w:val="20"/>
          <w:color w:val="auto"/>
        </w:rPr>
        <w:tab/>
      </w:r>
      <w:r>
        <w:rPr>
          <w:rFonts w:ascii="Arial" w:cs="Arial" w:eastAsia="Arial" w:hAnsi="Arial"/>
          <w:sz w:val="16"/>
          <w:szCs w:val="16"/>
          <w:color w:val="auto"/>
        </w:rPr>
        <w:t>Address of Issuer’s Principal Executive Offices:</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Calle 50 y Aquilino de la Guar, Apartado 6-1497 El Dorado, Panama City, Panama</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2(a)</w:t>
      </w:r>
      <w:r>
        <w:rPr>
          <w:sz w:val="20"/>
          <w:szCs w:val="20"/>
          <w:color w:val="auto"/>
        </w:rPr>
        <w:tab/>
      </w:r>
      <w:r>
        <w:rPr>
          <w:rFonts w:ascii="Arial" w:cs="Arial" w:eastAsia="Arial" w:hAnsi="Arial"/>
          <w:sz w:val="16"/>
          <w:szCs w:val="16"/>
          <w:color w:val="auto"/>
        </w:rPr>
        <w:t>Name of Person Filing:</w:t>
      </w:r>
    </w:p>
    <w:p>
      <w:pPr>
        <w:spacing w:after="0" w:line="225" w:lineRule="exact"/>
        <w:rPr>
          <w:sz w:val="20"/>
          <w:szCs w:val="20"/>
          <w:color w:val="auto"/>
        </w:rPr>
      </w:pPr>
    </w:p>
    <w:p>
      <w:pPr>
        <w:ind w:left="1300" w:hanging="320"/>
        <w:spacing w:after="0"/>
        <w:tabs>
          <w:tab w:leader="none" w:pos="1300" w:val="left"/>
        </w:tabs>
        <w:numPr>
          <w:ilvl w:val="0"/>
          <w:numId w:val="11"/>
        </w:numPr>
        <w:rPr>
          <w:rFonts w:ascii="Arial" w:cs="Arial" w:eastAsia="Arial" w:hAnsi="Arial"/>
          <w:sz w:val="18"/>
          <w:szCs w:val="18"/>
          <w:color w:val="auto"/>
        </w:rPr>
      </w:pPr>
      <w:r>
        <w:rPr>
          <w:rFonts w:ascii="Arial" w:cs="Arial" w:eastAsia="Arial" w:hAnsi="Arial"/>
          <w:sz w:val="18"/>
          <w:szCs w:val="18"/>
          <w:color w:val="auto"/>
        </w:rPr>
        <w:t>Brandes Investment Partners, L.P.</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11"/>
        </w:numPr>
        <w:rPr>
          <w:rFonts w:ascii="Arial" w:cs="Arial" w:eastAsia="Arial" w:hAnsi="Arial"/>
          <w:sz w:val="18"/>
          <w:szCs w:val="18"/>
          <w:color w:val="auto"/>
        </w:rPr>
      </w:pPr>
      <w:r>
        <w:rPr>
          <w:rFonts w:ascii="Arial" w:cs="Arial" w:eastAsia="Arial" w:hAnsi="Arial"/>
          <w:sz w:val="18"/>
          <w:szCs w:val="18"/>
          <w:color w:val="auto"/>
        </w:rPr>
        <w:t>CO-GP, LLC</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11"/>
        </w:numPr>
        <w:rPr>
          <w:rFonts w:ascii="Arial" w:cs="Arial" w:eastAsia="Arial" w:hAnsi="Arial"/>
          <w:sz w:val="18"/>
          <w:szCs w:val="18"/>
          <w:color w:val="auto"/>
        </w:rPr>
      </w:pPr>
      <w:r>
        <w:rPr>
          <w:rFonts w:ascii="Arial" w:cs="Arial" w:eastAsia="Arial" w:hAnsi="Arial"/>
          <w:sz w:val="18"/>
          <w:szCs w:val="18"/>
          <w:color w:val="auto"/>
        </w:rPr>
        <w:t>Brandes Worldwide Holdings, L.P.</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11"/>
        </w:numPr>
        <w:rPr>
          <w:rFonts w:ascii="Arial" w:cs="Arial" w:eastAsia="Arial" w:hAnsi="Arial"/>
          <w:sz w:val="18"/>
          <w:szCs w:val="18"/>
          <w:color w:val="auto"/>
        </w:rPr>
      </w:pPr>
      <w:r>
        <w:rPr>
          <w:rFonts w:ascii="Arial" w:cs="Arial" w:eastAsia="Arial" w:hAnsi="Arial"/>
          <w:sz w:val="18"/>
          <w:szCs w:val="18"/>
          <w:color w:val="auto"/>
        </w:rPr>
        <w:t>Glenn Carlson</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300" w:hanging="320"/>
        <w:spacing w:after="0"/>
        <w:tabs>
          <w:tab w:leader="none" w:pos="1300" w:val="left"/>
        </w:tabs>
        <w:numPr>
          <w:ilvl w:val="0"/>
          <w:numId w:val="12"/>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12"/>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12"/>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12"/>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300" w:hanging="320"/>
        <w:spacing w:after="0"/>
        <w:tabs>
          <w:tab w:leader="none" w:pos="1300" w:val="left"/>
        </w:tabs>
        <w:numPr>
          <w:ilvl w:val="0"/>
          <w:numId w:val="13"/>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13"/>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13"/>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13"/>
        </w:numPr>
        <w:rPr>
          <w:rFonts w:ascii="Arial" w:cs="Arial" w:eastAsia="Arial" w:hAnsi="Arial"/>
          <w:sz w:val="18"/>
          <w:szCs w:val="18"/>
          <w:color w:val="auto"/>
        </w:rPr>
      </w:pPr>
      <w:r>
        <w:rPr>
          <w:rFonts w:ascii="Arial" w:cs="Arial" w:eastAsia="Arial" w:hAnsi="Arial"/>
          <w:sz w:val="18"/>
          <w:szCs w:val="18"/>
          <w:color w:val="auto"/>
        </w:rPr>
        <w:t>USA</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2(d)</w:t>
      </w:r>
      <w:r>
        <w:rPr>
          <w:sz w:val="20"/>
          <w:szCs w:val="20"/>
          <w:color w:val="auto"/>
        </w:rPr>
        <w:tab/>
      </w:r>
      <w:r>
        <w:rPr>
          <w:rFonts w:ascii="Arial" w:cs="Arial" w:eastAsia="Arial" w:hAnsi="Arial"/>
          <w:sz w:val="16"/>
          <w:szCs w:val="16"/>
          <w:color w:val="auto"/>
        </w:rPr>
        <w:t>Title of Class Securities:</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E Shares</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2(e)</w:t>
      </w:r>
      <w:r>
        <w:rPr>
          <w:sz w:val="20"/>
          <w:szCs w:val="20"/>
          <w:color w:val="auto"/>
        </w:rPr>
        <w:tab/>
      </w:r>
      <w:r>
        <w:rPr>
          <w:rFonts w:ascii="Arial" w:cs="Arial" w:eastAsia="Arial" w:hAnsi="Arial"/>
          <w:sz w:val="16"/>
          <w:szCs w:val="16"/>
          <w:color w:val="auto"/>
        </w:rPr>
        <w:t>CUSIP Number:</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P16994132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443230</wp:posOffset>
            </wp:positionV>
            <wp:extent cx="71323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92" w:right="339" w:bottom="1440" w:gutter="0" w:footer="0" w:header="0"/>
        </w:sectPr>
      </w:pPr>
    </w:p>
    <w:bookmarkStart w:id="6" w:name="page7"/>
    <w:bookmarkEnd w:id="6"/>
    <w:p>
      <w:pPr>
        <w:jc w:val="right"/>
        <w:spacing w:after="0"/>
        <w:rPr>
          <w:sz w:val="20"/>
          <w:szCs w:val="20"/>
          <w:color w:val="auto"/>
        </w:rPr>
      </w:pPr>
      <w:r>
        <w:rPr>
          <w:rFonts w:ascii="Arial" w:cs="Arial" w:eastAsia="Arial" w:hAnsi="Arial"/>
          <w:sz w:val="18"/>
          <w:szCs w:val="18"/>
          <w:color w:val="auto"/>
        </w:rPr>
        <w:t>Page 7 of 12</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3.</w:t>
      </w:r>
      <w:r>
        <w:rPr>
          <w:sz w:val="20"/>
          <w:szCs w:val="20"/>
          <w:color w:val="auto"/>
        </w:rPr>
        <w:tab/>
      </w:r>
      <w:r>
        <w:rPr>
          <w:rFonts w:ascii="Arial" w:cs="Arial" w:eastAsia="Arial" w:hAnsi="Arial"/>
          <w:sz w:val="16"/>
          <w:szCs w:val="16"/>
          <w:color w:val="auto"/>
        </w:rPr>
        <w:t>If this statement is filed pursuant to §§ 240.13d-1(b), or 240.13d-2(b) or (c), check whether the person filing is a:</w:t>
      </w:r>
    </w:p>
    <w:p>
      <w:pPr>
        <w:spacing w:after="0" w:line="192" w:lineRule="exact"/>
        <w:rPr>
          <w:sz w:val="20"/>
          <w:szCs w:val="20"/>
          <w:color w:val="auto"/>
        </w:rPr>
      </w:pPr>
    </w:p>
    <w:p>
      <w:pPr>
        <w:ind w:left="1300" w:hanging="320"/>
        <w:spacing w:after="0" w:line="207" w:lineRule="exact"/>
        <w:tabs>
          <w:tab w:leader="none" w:pos="13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Broker or dealer registered under section 15 of the Act (15 U.S.C. 78o).</w:t>
      </w:r>
    </w:p>
    <w:p>
      <w:pPr>
        <w:spacing w:after="0" w:line="57" w:lineRule="exact"/>
        <w:rPr>
          <w:rFonts w:ascii="Arial" w:cs="Arial" w:eastAsia="Arial" w:hAnsi="Arial"/>
          <w:sz w:val="18"/>
          <w:szCs w:val="18"/>
          <w:color w:val="auto"/>
        </w:rPr>
      </w:pPr>
    </w:p>
    <w:p>
      <w:pPr>
        <w:ind w:left="1300" w:hanging="320"/>
        <w:spacing w:after="0" w:line="207" w:lineRule="exact"/>
        <w:tabs>
          <w:tab w:leader="none" w:pos="13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Bank as defined in section 3(a)(6) of the Act (15 U.S.C. 78c).</w:t>
      </w:r>
    </w:p>
    <w:p>
      <w:pPr>
        <w:spacing w:after="0" w:line="9" w:lineRule="exact"/>
        <w:rPr>
          <w:rFonts w:ascii="Arial" w:cs="Arial" w:eastAsia="Arial" w:hAnsi="Arial"/>
          <w:sz w:val="18"/>
          <w:szCs w:val="18"/>
          <w:color w:val="auto"/>
        </w:rPr>
      </w:pPr>
    </w:p>
    <w:p>
      <w:pPr>
        <w:ind w:left="1300" w:hanging="320"/>
        <w:spacing w:after="0" w:line="207" w:lineRule="exact"/>
        <w:tabs>
          <w:tab w:leader="none" w:pos="13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Insurance company as defined in section 3(a)(19) of the Act (15 U.S.C. 78c).</w:t>
      </w:r>
    </w:p>
    <w:p>
      <w:pPr>
        <w:spacing w:after="0" w:line="9" w:lineRule="exact"/>
        <w:rPr>
          <w:rFonts w:ascii="Arial" w:cs="Arial" w:eastAsia="Arial" w:hAnsi="Arial"/>
          <w:sz w:val="18"/>
          <w:szCs w:val="18"/>
          <w:color w:val="auto"/>
        </w:rPr>
      </w:pPr>
    </w:p>
    <w:p>
      <w:pPr>
        <w:ind w:left="1300" w:hanging="320"/>
        <w:spacing w:after="0" w:line="207" w:lineRule="exact"/>
        <w:tabs>
          <w:tab w:leader="none" w:pos="13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Investment company registered under section 8 of the Investment Company Act (15 U.S.C. 80a-8).</w:t>
      </w:r>
    </w:p>
    <w:p>
      <w:pPr>
        <w:spacing w:after="0" w:line="9" w:lineRule="exact"/>
        <w:rPr>
          <w:rFonts w:ascii="Arial" w:cs="Arial" w:eastAsia="Arial" w:hAnsi="Arial"/>
          <w:sz w:val="18"/>
          <w:szCs w:val="18"/>
          <w:color w:val="auto"/>
        </w:rPr>
      </w:pPr>
    </w:p>
    <w:p>
      <w:pPr>
        <w:ind w:left="1300" w:hanging="320"/>
        <w:spacing w:after="0" w:line="207" w:lineRule="exact"/>
        <w:tabs>
          <w:tab w:leader="none" w:pos="13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An investment adviser in accordance with § 240.13d-1(b)(1)(ii)(E).</w:t>
      </w:r>
    </w:p>
    <w:p>
      <w:pPr>
        <w:spacing w:after="0" w:line="9" w:lineRule="exact"/>
        <w:rPr>
          <w:rFonts w:ascii="Arial" w:cs="Arial" w:eastAsia="Arial" w:hAnsi="Arial"/>
          <w:sz w:val="18"/>
          <w:szCs w:val="18"/>
          <w:color w:val="auto"/>
        </w:rPr>
      </w:pPr>
    </w:p>
    <w:p>
      <w:pPr>
        <w:ind w:left="1300" w:hanging="320"/>
        <w:spacing w:after="0" w:line="207" w:lineRule="exact"/>
        <w:tabs>
          <w:tab w:leader="none" w:pos="13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An employee benefit plan or endowment fund in accordance with § 240.13d-1(b)(ii)(F).</w:t>
      </w:r>
    </w:p>
    <w:p>
      <w:pPr>
        <w:spacing w:after="0" w:line="9" w:lineRule="exact"/>
        <w:rPr>
          <w:rFonts w:ascii="Arial" w:cs="Arial" w:eastAsia="Arial" w:hAnsi="Arial"/>
          <w:sz w:val="18"/>
          <w:szCs w:val="18"/>
          <w:color w:val="auto"/>
        </w:rPr>
      </w:pPr>
    </w:p>
    <w:p>
      <w:pPr>
        <w:ind w:left="1300" w:hanging="320"/>
        <w:spacing w:after="0" w:line="207" w:lineRule="exact"/>
        <w:tabs>
          <w:tab w:leader="none" w:pos="13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parent holding company or control person in accordance with § 240.13d-1(b)(1)(ii)(G).</w:t>
      </w:r>
    </w:p>
    <w:p>
      <w:pPr>
        <w:spacing w:after="0" w:line="9" w:lineRule="exact"/>
        <w:rPr>
          <w:rFonts w:ascii="Arial" w:cs="Arial" w:eastAsia="Arial" w:hAnsi="Arial"/>
          <w:sz w:val="18"/>
          <w:szCs w:val="18"/>
          <w:color w:val="auto"/>
        </w:rPr>
      </w:pPr>
    </w:p>
    <w:p>
      <w:pPr>
        <w:ind w:left="1300" w:hanging="320"/>
        <w:spacing w:after="0" w:line="207" w:lineRule="exact"/>
        <w:tabs>
          <w:tab w:leader="none" w:pos="1300"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savings association as defined in Section 3(b) of the Federal Deposit Insurance Act (12 U.S.C. 1813).</w:t>
      </w:r>
    </w:p>
    <w:p>
      <w:pPr>
        <w:spacing w:after="0" w:line="9" w:lineRule="exact"/>
        <w:rPr>
          <w:rFonts w:ascii="Arial" w:cs="Arial" w:eastAsia="Arial" w:hAnsi="Arial"/>
          <w:sz w:val="18"/>
          <w:szCs w:val="18"/>
          <w:color w:val="auto"/>
        </w:rPr>
      </w:pPr>
    </w:p>
    <w:p>
      <w:pPr>
        <w:ind w:left="1500" w:right="180" w:hanging="520"/>
        <w:spacing w:after="0" w:line="215" w:lineRule="exact"/>
        <w:tabs>
          <w:tab w:leader="none" w:pos="1306" w:val="left"/>
        </w:tabs>
        <w:numPr>
          <w:ilvl w:val="0"/>
          <w:numId w:val="1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church plan that is excluded from the definition of an investment company under section 3(c)(14) of the Investment Company Act of 1940 (15 U.S.C. 80a-3).</w:t>
      </w:r>
    </w:p>
    <w:p>
      <w:pPr>
        <w:ind w:left="1300" w:hanging="320"/>
        <w:spacing w:after="0"/>
        <w:tabs>
          <w:tab w:leader="none" w:pos="1300" w:val="left"/>
        </w:tabs>
        <w:numPr>
          <w:ilvl w:val="0"/>
          <w:numId w:val="14"/>
        </w:numPr>
        <w:rPr>
          <w:rFonts w:ascii="Arial" w:cs="Arial" w:eastAsia="Arial" w:hAnsi="Arial"/>
          <w:sz w:val="18"/>
          <w:szCs w:val="18"/>
          <w:color w:val="auto"/>
        </w:rPr>
      </w:pPr>
      <w:r>
        <w:rPr>
          <w:rFonts w:ascii="Arial" w:cs="Arial" w:eastAsia="Arial" w:hAnsi="Arial"/>
          <w:sz w:val="18"/>
          <w:szCs w:val="18"/>
          <w:color w:val="auto"/>
        </w:rPr>
        <w:t>þ Group, in accordance with § 240.13d-1(b)(1)(ii)(J).</w:t>
      </w:r>
    </w:p>
    <w:p>
      <w:pPr>
        <w:spacing w:after="0" w:line="211" w:lineRule="exact"/>
        <w:rPr>
          <w:sz w:val="20"/>
          <w:szCs w:val="20"/>
          <w:color w:val="auto"/>
        </w:rPr>
      </w:pPr>
    </w:p>
    <w:p>
      <w:pPr>
        <w:ind w:left="980" w:right="140"/>
        <w:spacing w:after="0" w:line="277" w:lineRule="auto"/>
        <w:rPr>
          <w:sz w:val="20"/>
          <w:szCs w:val="20"/>
          <w:color w:val="auto"/>
        </w:rPr>
      </w:pPr>
      <w:r>
        <w:rPr>
          <w:rFonts w:ascii="Arial" w:cs="Arial" w:eastAsia="Arial" w:hAnsi="Arial"/>
          <w:sz w:val="18"/>
          <w:szCs w:val="18"/>
          <w:color w:val="auto"/>
        </w:rPr>
        <w:t>This statement is filed by Brandes Investment Partners, L.P., an investment adviser registered under the Investment Advisers Act of 1940, its control persons and its holding company. (See, also, Exhibit A.)</w:t>
      </w:r>
    </w:p>
    <w:p>
      <w:pPr>
        <w:spacing w:after="0" w:line="170"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4.</w:t>
      </w:r>
      <w:r>
        <w:rPr>
          <w:sz w:val="20"/>
          <w:szCs w:val="20"/>
          <w:color w:val="auto"/>
        </w:rPr>
        <w:tab/>
      </w:r>
      <w:r>
        <w:rPr>
          <w:rFonts w:ascii="Arial" w:cs="Arial" w:eastAsia="Arial" w:hAnsi="Arial"/>
          <w:sz w:val="16"/>
          <w:szCs w:val="16"/>
          <w:color w:val="auto"/>
        </w:rPr>
        <w:t>Ownership:</w:t>
      </w:r>
    </w:p>
    <w:p>
      <w:pPr>
        <w:spacing w:after="0" w:line="225" w:lineRule="exact"/>
        <w:rPr>
          <w:sz w:val="20"/>
          <w:szCs w:val="20"/>
          <w:color w:val="auto"/>
        </w:rPr>
      </w:pPr>
    </w:p>
    <w:p>
      <w:pPr>
        <w:ind w:left="1300" w:hanging="320"/>
        <w:spacing w:after="0"/>
        <w:tabs>
          <w:tab w:leader="none" w:pos="1300" w:val="left"/>
        </w:tabs>
        <w:numPr>
          <w:ilvl w:val="0"/>
          <w:numId w:val="15"/>
        </w:numPr>
        <w:rPr>
          <w:rFonts w:ascii="Arial" w:cs="Arial" w:eastAsia="Arial" w:hAnsi="Arial"/>
          <w:sz w:val="18"/>
          <w:szCs w:val="18"/>
          <w:color w:val="auto"/>
        </w:rPr>
      </w:pPr>
      <w:r>
        <w:rPr>
          <w:rFonts w:ascii="Arial" w:cs="Arial" w:eastAsia="Arial" w:hAnsi="Arial"/>
          <w:sz w:val="18"/>
          <w:szCs w:val="18"/>
          <w:color w:val="auto"/>
        </w:rPr>
        <w:t xml:space="preserve">Amount Beneficially Owned: </w:t>
      </w:r>
      <w:r>
        <w:rPr>
          <w:rFonts w:ascii="Arial" w:cs="Arial" w:eastAsia="Arial" w:hAnsi="Arial"/>
          <w:sz w:val="18"/>
          <w:szCs w:val="18"/>
          <w:u w:val="single" w:color="auto"/>
          <w:color w:val="auto"/>
        </w:rPr>
        <w:t>5,720,951 ORD</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15"/>
        </w:numPr>
        <w:rPr>
          <w:rFonts w:ascii="Arial" w:cs="Arial" w:eastAsia="Arial" w:hAnsi="Arial"/>
          <w:sz w:val="18"/>
          <w:szCs w:val="18"/>
          <w:color w:val="auto"/>
        </w:rPr>
      </w:pPr>
      <w:r>
        <w:rPr>
          <w:rFonts w:ascii="Arial" w:cs="Arial" w:eastAsia="Arial" w:hAnsi="Arial"/>
          <w:sz w:val="18"/>
          <w:szCs w:val="18"/>
          <w:color w:val="auto"/>
        </w:rPr>
        <w:t xml:space="preserve">Percent of Class: </w:t>
      </w:r>
      <w:r>
        <w:rPr>
          <w:rFonts w:ascii="Arial" w:cs="Arial" w:eastAsia="Arial" w:hAnsi="Arial"/>
          <w:sz w:val="18"/>
          <w:szCs w:val="18"/>
          <w:u w:val="single" w:color="auto"/>
          <w:color w:val="auto"/>
        </w:rPr>
        <w:t>18.41%</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15"/>
        </w:numPr>
        <w:rPr>
          <w:rFonts w:ascii="Arial" w:cs="Arial" w:eastAsia="Arial" w:hAnsi="Arial"/>
          <w:sz w:val="18"/>
          <w:szCs w:val="18"/>
          <w:color w:val="auto"/>
        </w:rPr>
      </w:pPr>
      <w:r>
        <w:rPr>
          <w:rFonts w:ascii="Arial" w:cs="Arial" w:eastAsia="Arial" w:hAnsi="Arial"/>
          <w:sz w:val="18"/>
          <w:szCs w:val="18"/>
          <w:color w:val="auto"/>
        </w:rPr>
        <w:t>Number of shares as to which the joint filers have:</w:t>
      </w:r>
    </w:p>
    <w:p>
      <w:pPr>
        <w:spacing w:after="0" w:line="225" w:lineRule="exact"/>
        <w:rPr>
          <w:rFonts w:ascii="Arial" w:cs="Arial" w:eastAsia="Arial" w:hAnsi="Arial"/>
          <w:sz w:val="18"/>
          <w:szCs w:val="18"/>
          <w:color w:val="auto"/>
        </w:rPr>
      </w:pPr>
    </w:p>
    <w:p>
      <w:pPr>
        <w:ind w:left="2000" w:hanging="507"/>
        <w:spacing w:after="0"/>
        <w:tabs>
          <w:tab w:leader="none" w:pos="2000" w:val="left"/>
        </w:tabs>
        <w:numPr>
          <w:ilvl w:val="1"/>
          <w:numId w:val="15"/>
        </w:numPr>
        <w:rPr>
          <w:rFonts w:ascii="Arial" w:cs="Arial" w:eastAsia="Arial" w:hAnsi="Arial"/>
          <w:sz w:val="18"/>
          <w:szCs w:val="18"/>
          <w:color w:val="auto"/>
        </w:rPr>
      </w:pPr>
      <w:r>
        <w:rPr>
          <w:rFonts w:ascii="Arial" w:cs="Arial" w:eastAsia="Arial" w:hAnsi="Arial"/>
          <w:sz w:val="18"/>
          <w:szCs w:val="18"/>
          <w:color w:val="auto"/>
        </w:rPr>
        <w:t xml:space="preserve">sole power to vote or to direct the vote: </w:t>
      </w:r>
      <w:r>
        <w:rPr>
          <w:rFonts w:ascii="Arial" w:cs="Arial" w:eastAsia="Arial" w:hAnsi="Arial"/>
          <w:sz w:val="18"/>
          <w:szCs w:val="18"/>
          <w:u w:val="single" w:color="auto"/>
          <w:color w:val="auto"/>
        </w:rPr>
        <w:t>0</w:t>
      </w:r>
    </w:p>
    <w:p>
      <w:pPr>
        <w:spacing w:after="0" w:line="225" w:lineRule="exact"/>
        <w:rPr>
          <w:rFonts w:ascii="Arial" w:cs="Arial" w:eastAsia="Arial" w:hAnsi="Arial"/>
          <w:sz w:val="18"/>
          <w:szCs w:val="18"/>
          <w:color w:val="auto"/>
        </w:rPr>
      </w:pPr>
    </w:p>
    <w:p>
      <w:pPr>
        <w:ind w:left="2000" w:hanging="507"/>
        <w:spacing w:after="0"/>
        <w:tabs>
          <w:tab w:leader="none" w:pos="2000" w:val="left"/>
        </w:tabs>
        <w:numPr>
          <w:ilvl w:val="1"/>
          <w:numId w:val="15"/>
        </w:numPr>
        <w:rPr>
          <w:rFonts w:ascii="Arial" w:cs="Arial" w:eastAsia="Arial" w:hAnsi="Arial"/>
          <w:sz w:val="18"/>
          <w:szCs w:val="18"/>
          <w:color w:val="auto"/>
        </w:rPr>
      </w:pPr>
      <w:r>
        <w:rPr>
          <w:rFonts w:ascii="Arial" w:cs="Arial" w:eastAsia="Arial" w:hAnsi="Arial"/>
          <w:sz w:val="18"/>
          <w:szCs w:val="18"/>
          <w:color w:val="auto"/>
        </w:rPr>
        <w:t xml:space="preserve">shared power to vote or to direct the vote: </w:t>
      </w:r>
      <w:r>
        <w:rPr>
          <w:rFonts w:ascii="Arial" w:cs="Arial" w:eastAsia="Arial" w:hAnsi="Arial"/>
          <w:sz w:val="18"/>
          <w:szCs w:val="18"/>
          <w:u w:val="single" w:color="auto"/>
          <w:color w:val="auto"/>
        </w:rPr>
        <w:t>5,014,026 ORD</w:t>
      </w:r>
    </w:p>
    <w:p>
      <w:pPr>
        <w:spacing w:after="0" w:line="225" w:lineRule="exact"/>
        <w:rPr>
          <w:rFonts w:ascii="Arial" w:cs="Arial" w:eastAsia="Arial" w:hAnsi="Arial"/>
          <w:sz w:val="18"/>
          <w:szCs w:val="18"/>
          <w:color w:val="auto"/>
        </w:rPr>
      </w:pPr>
    </w:p>
    <w:p>
      <w:pPr>
        <w:ind w:left="2000" w:hanging="507"/>
        <w:spacing w:after="0"/>
        <w:tabs>
          <w:tab w:leader="none" w:pos="2000" w:val="left"/>
        </w:tabs>
        <w:numPr>
          <w:ilvl w:val="1"/>
          <w:numId w:val="15"/>
        </w:numPr>
        <w:rPr>
          <w:rFonts w:ascii="Arial" w:cs="Arial" w:eastAsia="Arial" w:hAnsi="Arial"/>
          <w:sz w:val="18"/>
          <w:szCs w:val="18"/>
          <w:color w:val="auto"/>
        </w:rPr>
      </w:pPr>
      <w:r>
        <w:rPr>
          <w:rFonts w:ascii="Arial" w:cs="Arial" w:eastAsia="Arial" w:hAnsi="Arial"/>
          <w:sz w:val="18"/>
          <w:szCs w:val="18"/>
          <w:color w:val="auto"/>
        </w:rPr>
        <w:t xml:space="preserve">sole power to dispose or to direct the disposition of: </w:t>
      </w:r>
      <w:r>
        <w:rPr>
          <w:rFonts w:ascii="Arial" w:cs="Arial" w:eastAsia="Arial" w:hAnsi="Arial"/>
          <w:sz w:val="18"/>
          <w:szCs w:val="18"/>
          <w:u w:val="single" w:color="auto"/>
          <w:color w:val="auto"/>
        </w:rPr>
        <w:t>0</w:t>
      </w:r>
    </w:p>
    <w:p>
      <w:pPr>
        <w:spacing w:after="0" w:line="225" w:lineRule="exact"/>
        <w:rPr>
          <w:rFonts w:ascii="Arial" w:cs="Arial" w:eastAsia="Arial" w:hAnsi="Arial"/>
          <w:sz w:val="18"/>
          <w:szCs w:val="18"/>
          <w:color w:val="auto"/>
        </w:rPr>
      </w:pPr>
    </w:p>
    <w:p>
      <w:pPr>
        <w:ind w:left="2000" w:hanging="507"/>
        <w:spacing w:after="0"/>
        <w:tabs>
          <w:tab w:leader="none" w:pos="2000" w:val="left"/>
        </w:tabs>
        <w:numPr>
          <w:ilvl w:val="1"/>
          <w:numId w:val="15"/>
        </w:numPr>
        <w:rPr>
          <w:rFonts w:ascii="Arial" w:cs="Arial" w:eastAsia="Arial" w:hAnsi="Arial"/>
          <w:sz w:val="18"/>
          <w:szCs w:val="18"/>
          <w:color w:val="auto"/>
        </w:rPr>
      </w:pPr>
      <w:r>
        <w:rPr>
          <w:rFonts w:ascii="Arial" w:cs="Arial" w:eastAsia="Arial" w:hAnsi="Arial"/>
          <w:sz w:val="18"/>
          <w:szCs w:val="18"/>
          <w:color w:val="auto"/>
        </w:rPr>
        <w:t xml:space="preserve">shared power to dispose or to direct the disposition of: </w:t>
      </w:r>
      <w:r>
        <w:rPr>
          <w:rFonts w:ascii="Arial" w:cs="Arial" w:eastAsia="Arial" w:hAnsi="Arial"/>
          <w:sz w:val="18"/>
          <w:szCs w:val="18"/>
          <w:u w:val="single" w:color="auto"/>
          <w:color w:val="auto"/>
        </w:rPr>
        <w:t>5,720,951 ORD</w:t>
      </w:r>
    </w:p>
    <w:p>
      <w:pPr>
        <w:spacing w:after="0" w:line="225" w:lineRule="exact"/>
        <w:rPr>
          <w:rFonts w:ascii="Arial" w:cs="Arial" w:eastAsia="Arial" w:hAnsi="Arial"/>
          <w:sz w:val="18"/>
          <w:szCs w:val="18"/>
          <w:color w:val="auto"/>
        </w:rPr>
      </w:pPr>
    </w:p>
    <w:p>
      <w:pPr>
        <w:spacing w:after="0"/>
        <w:rPr>
          <w:rFonts w:ascii="Arial" w:cs="Arial" w:eastAsia="Arial" w:hAnsi="Arial"/>
          <w:sz w:val="18"/>
          <w:szCs w:val="18"/>
          <w:color w:val="auto"/>
        </w:rPr>
      </w:pPr>
      <w:r>
        <w:rPr>
          <w:rFonts w:ascii="Arial" w:cs="Arial" w:eastAsia="Arial" w:hAnsi="Arial"/>
          <w:sz w:val="18"/>
          <w:szCs w:val="18"/>
          <w:color w:val="auto"/>
        </w:rPr>
        <w:t>Item 5.</w:t>
      </w:r>
      <w:r>
        <w:rPr>
          <w:rFonts w:ascii="Arial" w:cs="Arial" w:eastAsia="Arial" w:hAnsi="Arial"/>
          <w:sz w:val="16"/>
          <w:szCs w:val="16"/>
          <w:color w:val="auto"/>
        </w:rPr>
        <w:t>Ownership of Five Percent or Less of a Class.</w:t>
      </w:r>
    </w:p>
    <w:p>
      <w:pPr>
        <w:spacing w:after="0" w:line="225" w:lineRule="exact"/>
        <w:rPr>
          <w:sz w:val="20"/>
          <w:szCs w:val="20"/>
          <w:color w:val="auto"/>
        </w:rPr>
      </w:pPr>
    </w:p>
    <w:p>
      <w:pPr>
        <w:ind w:left="980" w:right="240"/>
        <w:spacing w:after="0" w:line="233" w:lineRule="exact"/>
        <w:rPr>
          <w:sz w:val="20"/>
          <w:szCs w:val="20"/>
          <w:color w:val="auto"/>
        </w:rPr>
      </w:pPr>
      <w:r>
        <w:rPr>
          <w:rFonts w:ascii="Arial" w:cs="Arial" w:eastAsia="Arial" w:hAnsi="Arial"/>
          <w:sz w:val="18"/>
          <w:szCs w:val="18"/>
          <w:color w:val="auto"/>
        </w:rPr>
        <w:t xml:space="preserve">If this statement is being filed to report the fact that as of the date hereof the reporting person has ceased to be the beneficial owner of more than five percent of the class securities, check the following </w:t>
      </w:r>
      <w:r>
        <w:rPr>
          <w:rFonts w:ascii="MS PGothic" w:cs="MS PGothic" w:eastAsia="MS PGothic" w:hAnsi="MS PGothic"/>
          <w:sz w:val="18"/>
          <w:szCs w:val="18"/>
          <w:color w:val="auto"/>
        </w:rPr>
        <w:t>☐</w:t>
      </w:r>
      <w:r>
        <w:rPr>
          <w:rFonts w:ascii="Arial" w:cs="Arial" w:eastAsia="Arial" w:hAnsi="Arial"/>
          <w:sz w:val="18"/>
          <w:szCs w:val="18"/>
          <w:color w:val="auto"/>
        </w:rPr>
        <w:t xml:space="preserve">. </w:t>
      </w:r>
      <w:r>
        <w:rPr>
          <w:rFonts w:ascii="Arial" w:cs="Arial" w:eastAsia="Arial" w:hAnsi="Arial"/>
          <w:sz w:val="18"/>
          <w:szCs w:val="18"/>
          <w:b w:val="1"/>
          <w:bCs w:val="1"/>
          <w:color w:val="auto"/>
        </w:rPr>
        <w:t>N/A.</w:t>
      </w:r>
    </w:p>
    <w:p>
      <w:pPr>
        <w:spacing w:after="0" w:line="178"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6.</w:t>
      </w:r>
      <w:r>
        <w:rPr>
          <w:sz w:val="20"/>
          <w:szCs w:val="20"/>
          <w:color w:val="auto"/>
        </w:rPr>
        <w:tab/>
      </w:r>
      <w:r>
        <w:rPr>
          <w:rFonts w:ascii="Arial" w:cs="Arial" w:eastAsia="Arial" w:hAnsi="Arial"/>
          <w:sz w:val="16"/>
          <w:szCs w:val="16"/>
          <w:color w:val="auto"/>
        </w:rPr>
        <w:t xml:space="preserve">Ownership of More than Five Percent on Behalf of Another Person. </w:t>
      </w:r>
      <w:r>
        <w:rPr>
          <w:rFonts w:ascii="Arial" w:cs="Arial" w:eastAsia="Arial" w:hAnsi="Arial"/>
          <w:sz w:val="16"/>
          <w:szCs w:val="16"/>
          <w:b w:val="1"/>
          <w:bCs w:val="1"/>
          <w:color w:val="auto"/>
        </w:rPr>
        <w:t>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445770</wp:posOffset>
            </wp:positionV>
            <wp:extent cx="71323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92" w:right="339" w:bottom="1440" w:gutter="0" w:footer="0" w:header="0"/>
        </w:sectPr>
      </w:pPr>
    </w:p>
    <w:bookmarkStart w:id="7" w:name="page8"/>
    <w:bookmarkEnd w:id="7"/>
    <w:p>
      <w:pPr>
        <w:jc w:val="right"/>
        <w:spacing w:after="0"/>
        <w:rPr>
          <w:sz w:val="20"/>
          <w:szCs w:val="20"/>
          <w:color w:val="auto"/>
        </w:rPr>
      </w:pPr>
      <w:r>
        <w:rPr>
          <w:rFonts w:ascii="Arial" w:cs="Arial" w:eastAsia="Arial" w:hAnsi="Arial"/>
          <w:sz w:val="18"/>
          <w:szCs w:val="18"/>
          <w:color w:val="auto"/>
        </w:rPr>
        <w:t>Page 8 of 12</w:t>
      </w:r>
    </w:p>
    <w:p>
      <w:pPr>
        <w:spacing w:after="0" w:line="200" w:lineRule="exact"/>
        <w:rPr>
          <w:sz w:val="20"/>
          <w:szCs w:val="20"/>
          <w:color w:val="auto"/>
        </w:rPr>
      </w:pPr>
    </w:p>
    <w:p>
      <w:pPr>
        <w:spacing w:after="0" w:line="24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7.</w:t>
      </w:r>
      <w:r>
        <w:rPr>
          <w:sz w:val="20"/>
          <w:szCs w:val="20"/>
          <w:color w:val="auto"/>
        </w:rPr>
        <w:tab/>
      </w:r>
      <w:r>
        <w:rPr>
          <w:rFonts w:ascii="Arial" w:cs="Arial" w:eastAsia="Arial" w:hAnsi="Arial"/>
          <w:sz w:val="16"/>
          <w:szCs w:val="16"/>
          <w:color w:val="auto"/>
        </w:rPr>
        <w:t>Identification and Classification of the Subsidiary Which Acquired the Security Being Reported on By the Parent Holding Company.</w:t>
      </w:r>
    </w:p>
    <w:p>
      <w:pPr>
        <w:spacing w:after="0" w:line="221" w:lineRule="exact"/>
        <w:rPr>
          <w:sz w:val="20"/>
          <w:szCs w:val="20"/>
          <w:color w:val="auto"/>
        </w:rPr>
      </w:pPr>
    </w:p>
    <w:p>
      <w:pPr>
        <w:ind w:left="980"/>
        <w:spacing w:after="0"/>
        <w:rPr>
          <w:sz w:val="20"/>
          <w:szCs w:val="20"/>
          <w:color w:val="auto"/>
        </w:rPr>
      </w:pPr>
      <w:r>
        <w:rPr>
          <w:rFonts w:ascii="Arial" w:cs="Arial" w:eastAsia="Arial" w:hAnsi="Arial"/>
          <w:sz w:val="18"/>
          <w:szCs w:val="18"/>
          <w:b w:val="1"/>
          <w:bCs w:val="1"/>
          <w:color w:val="auto"/>
        </w:rPr>
        <w:t>N/A</w:t>
      </w:r>
    </w:p>
    <w:p>
      <w:pPr>
        <w:spacing w:after="0" w:line="229"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8.</w:t>
      </w:r>
      <w:r>
        <w:rPr>
          <w:sz w:val="20"/>
          <w:szCs w:val="20"/>
          <w:color w:val="auto"/>
        </w:rPr>
        <w:tab/>
      </w:r>
      <w:r>
        <w:rPr>
          <w:rFonts w:ascii="Arial" w:cs="Arial" w:eastAsia="Arial" w:hAnsi="Arial"/>
          <w:sz w:val="16"/>
          <w:szCs w:val="16"/>
          <w:color w:val="auto"/>
        </w:rPr>
        <w:t>Identification and Classification of Members of the Group.</w:t>
      </w:r>
    </w:p>
    <w:p>
      <w:pPr>
        <w:spacing w:after="0" w:line="221" w:lineRule="exact"/>
        <w:rPr>
          <w:sz w:val="20"/>
          <w:szCs w:val="20"/>
          <w:color w:val="auto"/>
        </w:rPr>
      </w:pPr>
    </w:p>
    <w:p>
      <w:pPr>
        <w:ind w:left="980"/>
        <w:spacing w:after="0"/>
        <w:rPr>
          <w:sz w:val="20"/>
          <w:szCs w:val="20"/>
          <w:color w:val="auto"/>
        </w:rPr>
      </w:pPr>
      <w:r>
        <w:rPr>
          <w:rFonts w:ascii="Arial" w:cs="Arial" w:eastAsia="Arial" w:hAnsi="Arial"/>
          <w:sz w:val="18"/>
          <w:szCs w:val="18"/>
          <w:b w:val="1"/>
          <w:bCs w:val="1"/>
          <w:color w:val="auto"/>
        </w:rPr>
        <w:t>See Exhibit A</w:t>
      </w:r>
    </w:p>
    <w:p>
      <w:pPr>
        <w:spacing w:after="0" w:line="229"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9.</w:t>
      </w:r>
      <w:r>
        <w:rPr>
          <w:sz w:val="20"/>
          <w:szCs w:val="20"/>
          <w:color w:val="auto"/>
        </w:rPr>
        <w:tab/>
      </w:r>
      <w:r>
        <w:rPr>
          <w:rFonts w:ascii="Arial" w:cs="Arial" w:eastAsia="Arial" w:hAnsi="Arial"/>
          <w:sz w:val="16"/>
          <w:szCs w:val="16"/>
          <w:color w:val="auto"/>
        </w:rPr>
        <w:t>Notice of Dissolution of Group.</w:t>
      </w:r>
    </w:p>
    <w:p>
      <w:pPr>
        <w:spacing w:after="0" w:line="221" w:lineRule="exact"/>
        <w:rPr>
          <w:sz w:val="20"/>
          <w:szCs w:val="20"/>
          <w:color w:val="auto"/>
        </w:rPr>
      </w:pPr>
    </w:p>
    <w:p>
      <w:pPr>
        <w:ind w:left="980"/>
        <w:spacing w:after="0"/>
        <w:rPr>
          <w:sz w:val="20"/>
          <w:szCs w:val="20"/>
          <w:color w:val="auto"/>
        </w:rPr>
      </w:pPr>
      <w:r>
        <w:rPr>
          <w:rFonts w:ascii="Arial" w:cs="Arial" w:eastAsia="Arial" w:hAnsi="Arial"/>
          <w:sz w:val="18"/>
          <w:szCs w:val="18"/>
          <w:b w:val="1"/>
          <w:bCs w:val="1"/>
          <w:color w:val="auto"/>
        </w:rPr>
        <w:t>N/A</w:t>
      </w:r>
    </w:p>
    <w:p>
      <w:pPr>
        <w:spacing w:after="0" w:line="229"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10.</w:t>
      </w:r>
      <w:r>
        <w:rPr>
          <w:sz w:val="20"/>
          <w:szCs w:val="20"/>
          <w:color w:val="auto"/>
        </w:rPr>
        <w:tab/>
      </w:r>
      <w:r>
        <w:rPr>
          <w:rFonts w:ascii="Arial" w:cs="Arial" w:eastAsia="Arial" w:hAnsi="Arial"/>
          <w:sz w:val="17"/>
          <w:szCs w:val="17"/>
          <w:color w:val="auto"/>
        </w:rPr>
        <w:t>Certification:</w:t>
      </w:r>
    </w:p>
    <w:p>
      <w:pPr>
        <w:spacing w:after="0" w:line="225" w:lineRule="exact"/>
        <w:rPr>
          <w:sz w:val="20"/>
          <w:szCs w:val="20"/>
          <w:color w:val="auto"/>
        </w:rPr>
      </w:pPr>
    </w:p>
    <w:p>
      <w:pPr>
        <w:ind w:left="1500" w:hanging="520"/>
        <w:spacing w:after="0"/>
        <w:tabs>
          <w:tab w:leader="none" w:pos="1500" w:val="left"/>
        </w:tabs>
        <w:numPr>
          <w:ilvl w:val="0"/>
          <w:numId w:val="16"/>
        </w:numPr>
        <w:rPr>
          <w:rFonts w:ascii="Arial" w:cs="Arial" w:eastAsia="Arial" w:hAnsi="Arial"/>
          <w:sz w:val="18"/>
          <w:szCs w:val="18"/>
          <w:color w:val="auto"/>
        </w:rPr>
      </w:pPr>
      <w:r>
        <w:rPr>
          <w:rFonts w:ascii="Arial" w:cs="Arial" w:eastAsia="Arial" w:hAnsi="Arial"/>
          <w:sz w:val="18"/>
          <w:szCs w:val="18"/>
          <w:color w:val="auto"/>
        </w:rPr>
        <w:t>The following certification shall be included if the statement is filed pursuant to § 240.13d-1(b):</w:t>
      </w:r>
    </w:p>
    <w:p>
      <w:pPr>
        <w:spacing w:after="0" w:line="225" w:lineRule="exact"/>
        <w:rPr>
          <w:sz w:val="20"/>
          <w:szCs w:val="20"/>
          <w:color w:val="auto"/>
        </w:rPr>
      </w:pPr>
    </w:p>
    <w:p>
      <w:pPr>
        <w:ind w:left="1500" w:right="100"/>
        <w:spacing w:after="0" w:line="259" w:lineRule="auto"/>
        <w:rPr>
          <w:sz w:val="20"/>
          <w:szCs w:val="20"/>
          <w:color w:val="auto"/>
        </w:rPr>
      </w:pPr>
      <w:r>
        <w:rPr>
          <w:rFonts w:ascii="Arial" w:cs="Arial" w:eastAsia="Arial" w:hAnsi="Arial"/>
          <w:sz w:val="18"/>
          <w:szCs w:val="18"/>
          <w:color w:val="auto"/>
        </w:rPr>
        <w:t>By signing below I certify that, to the best of my knowledge and belief, the securities referred to above were acquired and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18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SIGNATURE</w:t>
      </w: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Arial" w:cs="Arial" w:eastAsia="Arial" w:hAnsi="Arial"/>
          <w:sz w:val="16"/>
          <w:szCs w:val="16"/>
          <w:color w:val="auto"/>
        </w:rPr>
        <w:t>After reasonable inquiry and to the best of my knowledge and belief, I certify that the information set forth in this statement is true, complete and correct.</w:t>
      </w:r>
    </w:p>
    <w:p>
      <w:pPr>
        <w:spacing w:after="0" w:line="248" w:lineRule="exact"/>
        <w:rPr>
          <w:sz w:val="20"/>
          <w:szCs w:val="20"/>
          <w:color w:val="auto"/>
        </w:rPr>
      </w:pPr>
    </w:p>
    <w:p>
      <w:pPr>
        <w:spacing w:after="0"/>
        <w:rPr>
          <w:sz w:val="20"/>
          <w:szCs w:val="20"/>
          <w:color w:val="auto"/>
        </w:rPr>
      </w:pPr>
      <w:r>
        <w:rPr>
          <w:rFonts w:ascii="Arial" w:cs="Arial" w:eastAsia="Arial" w:hAnsi="Arial"/>
          <w:sz w:val="18"/>
          <w:szCs w:val="18"/>
          <w:color w:val="auto"/>
        </w:rPr>
        <w:t>Date: January 7, 2021</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BRANDES INVESTMENT PARTNERS, L.P.</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By: /s/ Ian Rose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14605</wp:posOffset>
            </wp:positionV>
            <wp:extent cx="3351530" cy="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3351530" cy="8255"/>
                    </a:xfrm>
                    <a:prstGeom prst="rect">
                      <a:avLst/>
                    </a:prstGeom>
                    <a:noFill/>
                  </pic:spPr>
                </pic:pic>
              </a:graphicData>
            </a:graphic>
          </wp:anchor>
        </w:drawing>
      </w:r>
    </w:p>
    <w:p>
      <w:pPr>
        <w:spacing w:after="0" w:line="3" w:lineRule="exact"/>
        <w:rPr>
          <w:sz w:val="20"/>
          <w:szCs w:val="20"/>
          <w:color w:val="auto"/>
        </w:rPr>
      </w:pPr>
    </w:p>
    <w:p>
      <w:pPr>
        <w:ind w:left="5960"/>
        <w:spacing w:after="0"/>
        <w:rPr>
          <w:sz w:val="20"/>
          <w:szCs w:val="20"/>
          <w:color w:val="auto"/>
        </w:rPr>
      </w:pPr>
      <w:r>
        <w:rPr>
          <w:rFonts w:ascii="Arial" w:cs="Arial" w:eastAsia="Arial" w:hAnsi="Arial"/>
          <w:sz w:val="18"/>
          <w:szCs w:val="18"/>
          <w:color w:val="auto"/>
        </w:rPr>
        <w:t>Ian Rose as Attorney-In-Fact for</w:t>
      </w:r>
    </w:p>
    <w:p>
      <w:pPr>
        <w:spacing w:after="0" w:line="23" w:lineRule="exact"/>
        <w:rPr>
          <w:sz w:val="20"/>
          <w:szCs w:val="20"/>
          <w:color w:val="auto"/>
        </w:rPr>
      </w:pPr>
    </w:p>
    <w:p>
      <w:pPr>
        <w:ind w:left="5960"/>
        <w:spacing w:after="0"/>
        <w:rPr>
          <w:sz w:val="20"/>
          <w:szCs w:val="20"/>
          <w:color w:val="auto"/>
        </w:rPr>
      </w:pPr>
      <w:r>
        <w:rPr>
          <w:rFonts w:ascii="Arial" w:cs="Arial" w:eastAsia="Arial" w:hAnsi="Arial"/>
          <w:sz w:val="18"/>
          <w:szCs w:val="18"/>
          <w:color w:val="auto"/>
        </w:rPr>
        <w:t>Glenn Carlson, General Partner</w:t>
      </w:r>
    </w:p>
    <w:p>
      <w:pPr>
        <w:spacing w:after="0" w:line="9" w:lineRule="exact"/>
        <w:rPr>
          <w:sz w:val="20"/>
          <w:szCs w:val="20"/>
          <w:color w:val="auto"/>
        </w:rPr>
      </w:pPr>
    </w:p>
    <w:p>
      <w:pPr>
        <w:ind w:left="5960"/>
        <w:spacing w:after="0"/>
        <w:rPr>
          <w:sz w:val="20"/>
          <w:szCs w:val="20"/>
          <w:color w:val="auto"/>
        </w:rPr>
      </w:pPr>
      <w:r>
        <w:rPr>
          <w:rFonts w:ascii="Arial" w:cs="Arial" w:eastAsia="Arial" w:hAnsi="Arial"/>
          <w:sz w:val="18"/>
          <w:szCs w:val="18"/>
          <w:color w:val="auto"/>
        </w:rPr>
        <w:t>Co-GP, LLC its General Partner</w:t>
      </w:r>
    </w:p>
    <w:p>
      <w:pPr>
        <w:spacing w:after="0" w:line="211"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BRANDES INVESTMENT PARTNERS, INC.</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By: /s/ Ian Rose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14605</wp:posOffset>
            </wp:positionV>
            <wp:extent cx="3351530" cy="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3351530" cy="8255"/>
                    </a:xfrm>
                    <a:prstGeom prst="rect">
                      <a:avLst/>
                    </a:prstGeom>
                    <a:noFill/>
                  </pic:spPr>
                </pic:pic>
              </a:graphicData>
            </a:graphic>
          </wp:anchor>
        </w:drawing>
      </w:r>
    </w:p>
    <w:p>
      <w:pPr>
        <w:spacing w:after="0" w:line="3" w:lineRule="exact"/>
        <w:rPr>
          <w:sz w:val="20"/>
          <w:szCs w:val="20"/>
          <w:color w:val="auto"/>
        </w:rPr>
      </w:pPr>
    </w:p>
    <w:p>
      <w:pPr>
        <w:ind w:left="5960"/>
        <w:spacing w:after="0"/>
        <w:rPr>
          <w:sz w:val="20"/>
          <w:szCs w:val="20"/>
          <w:color w:val="auto"/>
        </w:rPr>
      </w:pPr>
      <w:r>
        <w:rPr>
          <w:rFonts w:ascii="Arial" w:cs="Arial" w:eastAsia="Arial" w:hAnsi="Arial"/>
          <w:sz w:val="18"/>
          <w:szCs w:val="18"/>
          <w:color w:val="auto"/>
        </w:rPr>
        <w:t>Ian Rose as Attorney-In-Fact for</w:t>
      </w:r>
    </w:p>
    <w:p>
      <w:pPr>
        <w:spacing w:after="0" w:line="23" w:lineRule="exact"/>
        <w:rPr>
          <w:sz w:val="20"/>
          <w:szCs w:val="20"/>
          <w:color w:val="auto"/>
        </w:rPr>
      </w:pPr>
    </w:p>
    <w:p>
      <w:pPr>
        <w:ind w:left="5960"/>
        <w:spacing w:after="0"/>
        <w:rPr>
          <w:sz w:val="20"/>
          <w:szCs w:val="20"/>
          <w:color w:val="auto"/>
        </w:rPr>
      </w:pPr>
      <w:r>
        <w:rPr>
          <w:rFonts w:ascii="Arial" w:cs="Arial" w:eastAsia="Arial" w:hAnsi="Arial"/>
          <w:sz w:val="18"/>
          <w:szCs w:val="18"/>
          <w:color w:val="auto"/>
        </w:rPr>
        <w:t>Glenn Carlson, General Partner</w:t>
      </w:r>
    </w:p>
    <w:p>
      <w:pPr>
        <w:spacing w:after="0" w:line="211"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BRANDES WORLDWIDE HOLDINGS, L.P.</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By: /s/ Ian Rose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14605</wp:posOffset>
            </wp:positionV>
            <wp:extent cx="335153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3351530" cy="8890"/>
                    </a:xfrm>
                    <a:prstGeom prst="rect">
                      <a:avLst/>
                    </a:prstGeom>
                    <a:noFill/>
                  </pic:spPr>
                </pic:pic>
              </a:graphicData>
            </a:graphic>
          </wp:anchor>
        </w:drawing>
      </w:r>
    </w:p>
    <w:p>
      <w:pPr>
        <w:spacing w:after="0" w:line="3" w:lineRule="exact"/>
        <w:rPr>
          <w:sz w:val="20"/>
          <w:szCs w:val="20"/>
          <w:color w:val="auto"/>
        </w:rPr>
      </w:pPr>
    </w:p>
    <w:p>
      <w:pPr>
        <w:ind w:left="5960"/>
        <w:spacing w:after="0"/>
        <w:rPr>
          <w:sz w:val="20"/>
          <w:szCs w:val="20"/>
          <w:color w:val="auto"/>
        </w:rPr>
      </w:pPr>
      <w:r>
        <w:rPr>
          <w:rFonts w:ascii="Arial" w:cs="Arial" w:eastAsia="Arial" w:hAnsi="Arial"/>
          <w:sz w:val="18"/>
          <w:szCs w:val="18"/>
          <w:color w:val="auto"/>
        </w:rPr>
        <w:t>Ian Rose as Attorney-In-Fact for</w:t>
      </w:r>
    </w:p>
    <w:p>
      <w:pPr>
        <w:spacing w:after="0" w:line="23" w:lineRule="exact"/>
        <w:rPr>
          <w:sz w:val="20"/>
          <w:szCs w:val="20"/>
          <w:color w:val="auto"/>
        </w:rPr>
      </w:pPr>
    </w:p>
    <w:p>
      <w:pPr>
        <w:ind w:left="5960"/>
        <w:spacing w:after="0"/>
        <w:rPr>
          <w:sz w:val="20"/>
          <w:szCs w:val="20"/>
          <w:color w:val="auto"/>
        </w:rPr>
      </w:pPr>
      <w:r>
        <w:rPr>
          <w:rFonts w:ascii="Arial" w:cs="Arial" w:eastAsia="Arial" w:hAnsi="Arial"/>
          <w:sz w:val="18"/>
          <w:szCs w:val="18"/>
          <w:color w:val="auto"/>
        </w:rPr>
        <w:t>Glenn Carlson, Control Person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92" w:right="339" w:bottom="1440" w:gutter="0" w:footer="0" w:header="0"/>
        </w:sectPr>
      </w:pPr>
    </w:p>
    <w:bookmarkStart w:id="8" w:name="page9"/>
    <w:bookmarkEnd w:id="8"/>
    <w:p>
      <w:pPr>
        <w:jc w:val="right"/>
        <w:spacing w:after="0"/>
        <w:rPr>
          <w:sz w:val="20"/>
          <w:szCs w:val="20"/>
          <w:color w:val="auto"/>
        </w:rPr>
      </w:pPr>
      <w:r>
        <w:rPr>
          <w:rFonts w:ascii="Arial" w:cs="Arial" w:eastAsia="Arial" w:hAnsi="Arial"/>
          <w:sz w:val="18"/>
          <w:szCs w:val="18"/>
          <w:color w:val="auto"/>
        </w:rPr>
        <w:t>Page 9 of 12</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EXHIBIT </w:t>
      </w:r>
      <w:r>
        <w:rPr>
          <w:rFonts w:ascii="Arial" w:cs="Arial" w:eastAsia="Arial" w:hAnsi="Arial"/>
          <w:sz w:val="18"/>
          <w:szCs w:val="18"/>
          <w:b w:val="1"/>
          <w:bCs w:val="1"/>
          <w:u w:val="single" w:color="auto"/>
          <w:color w:val="auto"/>
        </w:rPr>
        <w:t>A</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u w:val="single" w:color="auto"/>
          <w:color w:val="auto"/>
        </w:rPr>
        <w:t>Identification and Classification of Members of the Group</w:t>
      </w:r>
    </w:p>
    <w:p>
      <w:pPr>
        <w:spacing w:after="0" w:line="229" w:lineRule="exact"/>
        <w:rPr>
          <w:sz w:val="20"/>
          <w:szCs w:val="20"/>
          <w:color w:val="auto"/>
        </w:rPr>
      </w:pPr>
    </w:p>
    <w:p>
      <w:pPr>
        <w:ind w:right="40"/>
        <w:spacing w:after="0" w:line="277" w:lineRule="auto"/>
        <w:rPr>
          <w:sz w:val="20"/>
          <w:szCs w:val="20"/>
          <w:color w:val="auto"/>
        </w:rPr>
      </w:pPr>
      <w:r>
        <w:rPr>
          <w:rFonts w:ascii="Arial" w:cs="Arial" w:eastAsia="Arial" w:hAnsi="Arial"/>
          <w:sz w:val="18"/>
          <w:szCs w:val="18"/>
          <w:color w:val="auto"/>
        </w:rPr>
        <w:t>Pursuant to Rule 13d-1(b)(ii)(J) and Rule 13d-1(k)(1) under the Securities and Exchange Act of 1934, the members of the group making this joint filing are identified and classified as follows:</w:t>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2600" w:type="dxa"/>
            <w:vAlign w:val="bottom"/>
          </w:tcPr>
          <w:p>
            <w:pPr>
              <w:spacing w:after="0"/>
              <w:rPr>
                <w:sz w:val="17"/>
                <w:szCs w:val="17"/>
                <w:color w:val="auto"/>
              </w:rPr>
            </w:pPr>
          </w:p>
        </w:tc>
        <w:tc>
          <w:tcPr>
            <w:tcW w:w="2440" w:type="dxa"/>
            <w:vAlign w:val="bottom"/>
            <w:gridSpan w:val="2"/>
          </w:tcPr>
          <w:p>
            <w:pPr>
              <w:spacing w:after="0"/>
              <w:rPr>
                <w:sz w:val="20"/>
                <w:szCs w:val="20"/>
                <w:color w:val="auto"/>
              </w:rPr>
            </w:pPr>
            <w:r>
              <w:rPr>
                <w:rFonts w:ascii="Arial" w:cs="Arial" w:eastAsia="Arial" w:hAnsi="Arial"/>
                <w:sz w:val="18"/>
                <w:szCs w:val="18"/>
                <w:b w:val="1"/>
                <w:bCs w:val="1"/>
                <w:color w:val="auto"/>
              </w:rPr>
              <w:t>Name</w:t>
            </w:r>
          </w:p>
        </w:tc>
        <w:tc>
          <w:tcPr>
            <w:tcW w:w="6200" w:type="dxa"/>
            <w:vAlign w:val="bottom"/>
            <w:gridSpan w:val="3"/>
          </w:tcPr>
          <w:p>
            <w:pPr>
              <w:ind w:left="2880"/>
              <w:spacing w:after="0"/>
              <w:rPr>
                <w:sz w:val="20"/>
                <w:szCs w:val="20"/>
                <w:color w:val="auto"/>
              </w:rPr>
            </w:pPr>
            <w:r>
              <w:rPr>
                <w:rFonts w:ascii="Arial" w:cs="Arial" w:eastAsia="Arial" w:hAnsi="Arial"/>
                <w:sz w:val="18"/>
                <w:szCs w:val="18"/>
                <w:b w:val="1"/>
                <w:bCs w:val="1"/>
                <w:color w:val="auto"/>
              </w:rPr>
              <w:t>Classification</w:t>
            </w:r>
          </w:p>
        </w:tc>
      </w:tr>
      <w:tr>
        <w:trPr>
          <w:trHeight w:val="20"/>
        </w:trPr>
        <w:tc>
          <w:tcPr>
            <w:tcW w:w="2600" w:type="dxa"/>
            <w:vAlign w:val="bottom"/>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2000" w:type="dxa"/>
            <w:vAlign w:val="bottom"/>
          </w:tcPr>
          <w:p>
            <w:pPr>
              <w:spacing w:after="0" w:line="20" w:lineRule="exact"/>
              <w:rPr>
                <w:sz w:val="1"/>
                <w:szCs w:val="1"/>
                <w:color w:val="auto"/>
              </w:rPr>
            </w:pPr>
          </w:p>
        </w:tc>
        <w:tc>
          <w:tcPr>
            <w:tcW w:w="2880" w:type="dxa"/>
            <w:vAlign w:val="bottom"/>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r>
      <w:tr>
        <w:trPr>
          <w:trHeight w:val="453"/>
        </w:trPr>
        <w:tc>
          <w:tcPr>
            <w:tcW w:w="5040" w:type="dxa"/>
            <w:vAlign w:val="bottom"/>
            <w:gridSpan w:val="3"/>
          </w:tcPr>
          <w:p>
            <w:pPr>
              <w:spacing w:after="0"/>
              <w:rPr>
                <w:sz w:val="20"/>
                <w:szCs w:val="20"/>
                <w:color w:val="auto"/>
              </w:rPr>
            </w:pPr>
            <w:r>
              <w:rPr>
                <w:rFonts w:ascii="Arial" w:cs="Arial" w:eastAsia="Arial" w:hAnsi="Arial"/>
                <w:sz w:val="18"/>
                <w:szCs w:val="18"/>
                <w:color w:val="auto"/>
              </w:rPr>
              <w:t>Brandes Investment Partners, L.P. (the “Investment Adviser”)</w:t>
            </w:r>
          </w:p>
        </w:tc>
        <w:tc>
          <w:tcPr>
            <w:tcW w:w="6200" w:type="dxa"/>
            <w:vAlign w:val="bottom"/>
            <w:gridSpan w:val="3"/>
          </w:tcPr>
          <w:p>
            <w:pPr>
              <w:ind w:left="580"/>
              <w:spacing w:after="0"/>
              <w:rPr>
                <w:sz w:val="20"/>
                <w:szCs w:val="20"/>
                <w:color w:val="auto"/>
              </w:rPr>
            </w:pPr>
            <w:r>
              <w:rPr>
                <w:rFonts w:ascii="Arial" w:cs="Arial" w:eastAsia="Arial" w:hAnsi="Arial"/>
                <w:sz w:val="18"/>
                <w:szCs w:val="18"/>
                <w:color w:val="auto"/>
              </w:rPr>
              <w:t>Investment adviser registered under Investment Advisers Act of 1940</w:t>
            </w:r>
          </w:p>
        </w:tc>
      </w:tr>
      <w:tr>
        <w:trPr>
          <w:trHeight w:val="432"/>
        </w:trPr>
        <w:tc>
          <w:tcPr>
            <w:tcW w:w="5040" w:type="dxa"/>
            <w:vAlign w:val="bottom"/>
            <w:gridSpan w:val="3"/>
          </w:tcPr>
          <w:p>
            <w:pPr>
              <w:spacing w:after="0"/>
              <w:rPr>
                <w:sz w:val="20"/>
                <w:szCs w:val="20"/>
                <w:color w:val="auto"/>
              </w:rPr>
            </w:pPr>
            <w:r>
              <w:rPr>
                <w:rFonts w:ascii="Arial" w:cs="Arial" w:eastAsia="Arial" w:hAnsi="Arial"/>
                <w:sz w:val="18"/>
                <w:szCs w:val="18"/>
                <w:color w:val="auto"/>
              </w:rPr>
              <w:t>Co-GP, LLC</w:t>
            </w:r>
          </w:p>
        </w:tc>
        <w:tc>
          <w:tcPr>
            <w:tcW w:w="6200" w:type="dxa"/>
            <w:vAlign w:val="bottom"/>
            <w:gridSpan w:val="3"/>
          </w:tcPr>
          <w:p>
            <w:pPr>
              <w:ind w:left="580"/>
              <w:spacing w:after="0"/>
              <w:rPr>
                <w:sz w:val="20"/>
                <w:szCs w:val="20"/>
                <w:color w:val="auto"/>
              </w:rPr>
            </w:pPr>
            <w:r>
              <w:rPr>
                <w:rFonts w:ascii="Arial" w:cs="Arial" w:eastAsia="Arial" w:hAnsi="Arial"/>
                <w:sz w:val="18"/>
                <w:szCs w:val="18"/>
                <w:color w:val="auto"/>
              </w:rPr>
              <w:t>A control person of the Investment Adviser</w:t>
            </w:r>
          </w:p>
        </w:tc>
      </w:tr>
      <w:tr>
        <w:trPr>
          <w:trHeight w:val="432"/>
        </w:trPr>
        <w:tc>
          <w:tcPr>
            <w:tcW w:w="5040" w:type="dxa"/>
            <w:vAlign w:val="bottom"/>
            <w:gridSpan w:val="3"/>
          </w:tcPr>
          <w:p>
            <w:pPr>
              <w:spacing w:after="0"/>
              <w:rPr>
                <w:sz w:val="20"/>
                <w:szCs w:val="20"/>
                <w:color w:val="auto"/>
              </w:rPr>
            </w:pPr>
            <w:r>
              <w:rPr>
                <w:rFonts w:ascii="Arial" w:cs="Arial" w:eastAsia="Arial" w:hAnsi="Arial"/>
                <w:sz w:val="18"/>
                <w:szCs w:val="18"/>
                <w:color w:val="auto"/>
              </w:rPr>
              <w:t>Brandes Worldwide Holdings, L.P.</w:t>
            </w:r>
          </w:p>
        </w:tc>
        <w:tc>
          <w:tcPr>
            <w:tcW w:w="6200" w:type="dxa"/>
            <w:vAlign w:val="bottom"/>
            <w:gridSpan w:val="3"/>
          </w:tcPr>
          <w:p>
            <w:pPr>
              <w:ind w:left="580"/>
              <w:spacing w:after="0"/>
              <w:rPr>
                <w:sz w:val="20"/>
                <w:szCs w:val="20"/>
                <w:color w:val="auto"/>
              </w:rPr>
            </w:pPr>
            <w:r>
              <w:rPr>
                <w:rFonts w:ascii="Arial" w:cs="Arial" w:eastAsia="Arial" w:hAnsi="Arial"/>
                <w:sz w:val="18"/>
                <w:szCs w:val="18"/>
                <w:color w:val="auto"/>
              </w:rPr>
              <w:t>A control person of the Investment Adviser</w:t>
            </w:r>
          </w:p>
        </w:tc>
      </w:tr>
      <w:tr>
        <w:trPr>
          <w:trHeight w:val="432"/>
        </w:trPr>
        <w:tc>
          <w:tcPr>
            <w:tcW w:w="5040" w:type="dxa"/>
            <w:vAlign w:val="bottom"/>
            <w:gridSpan w:val="3"/>
          </w:tcPr>
          <w:p>
            <w:pPr>
              <w:spacing w:after="0"/>
              <w:rPr>
                <w:sz w:val="20"/>
                <w:szCs w:val="20"/>
                <w:color w:val="auto"/>
              </w:rPr>
            </w:pPr>
            <w:r>
              <w:rPr>
                <w:rFonts w:ascii="Arial" w:cs="Arial" w:eastAsia="Arial" w:hAnsi="Arial"/>
                <w:sz w:val="18"/>
                <w:szCs w:val="18"/>
                <w:color w:val="auto"/>
              </w:rPr>
              <w:t>Glenn Carlson</w:t>
            </w:r>
          </w:p>
        </w:tc>
        <w:tc>
          <w:tcPr>
            <w:tcW w:w="6200" w:type="dxa"/>
            <w:vAlign w:val="bottom"/>
            <w:gridSpan w:val="3"/>
          </w:tcPr>
          <w:p>
            <w:pPr>
              <w:ind w:left="580"/>
              <w:spacing w:after="0"/>
              <w:rPr>
                <w:sz w:val="20"/>
                <w:szCs w:val="20"/>
                <w:color w:val="auto"/>
              </w:rPr>
            </w:pPr>
            <w:r>
              <w:rPr>
                <w:rFonts w:ascii="Arial" w:cs="Arial" w:eastAsia="Arial" w:hAnsi="Arial"/>
                <w:sz w:val="18"/>
                <w:szCs w:val="18"/>
                <w:color w:val="auto"/>
              </w:rPr>
              <w:t>A control person of the Investment Adviser</w:t>
            </w:r>
          </w:p>
        </w:tc>
      </w:tr>
      <w:tr>
        <w:trPr>
          <w:trHeight w:val="675"/>
        </w:trPr>
        <w:tc>
          <w:tcPr>
            <w:tcW w:w="260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000" w:type="dxa"/>
            <w:vAlign w:val="bottom"/>
            <w:tcBorders>
              <w:bottom w:val="single" w:sz="8" w:color="auto"/>
            </w:tcBorders>
          </w:tcPr>
          <w:p>
            <w:pPr>
              <w:spacing w:after="0"/>
              <w:rPr>
                <w:sz w:val="24"/>
                <w:szCs w:val="24"/>
                <w:color w:val="auto"/>
              </w:rPr>
            </w:pPr>
          </w:p>
        </w:tc>
        <w:tc>
          <w:tcPr>
            <w:tcW w:w="28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92" w:right="339" w:bottom="1440" w:gutter="0" w:footer="0" w:header="0"/>
        </w:sectPr>
      </w:pPr>
    </w:p>
    <w:bookmarkStart w:id="9" w:name="page10"/>
    <w:bookmarkEnd w:id="9"/>
    <w:p>
      <w:pPr>
        <w:jc w:val="right"/>
        <w:spacing w:after="0"/>
        <w:rPr>
          <w:sz w:val="20"/>
          <w:szCs w:val="20"/>
          <w:color w:val="auto"/>
        </w:rPr>
      </w:pPr>
      <w:r>
        <w:rPr>
          <w:rFonts w:ascii="Arial" w:cs="Arial" w:eastAsia="Arial" w:hAnsi="Arial"/>
          <w:sz w:val="18"/>
          <w:szCs w:val="18"/>
          <w:color w:val="auto"/>
        </w:rPr>
        <w:t>Page 10 of 12</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EXHIBIT </w:t>
      </w:r>
      <w:r>
        <w:rPr>
          <w:rFonts w:ascii="Arial" w:cs="Arial" w:eastAsia="Arial" w:hAnsi="Arial"/>
          <w:sz w:val="18"/>
          <w:szCs w:val="18"/>
          <w:b w:val="1"/>
          <w:bCs w:val="1"/>
          <w:u w:val="single" w:color="auto"/>
          <w:color w:val="auto"/>
        </w:rPr>
        <w:t>B</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u w:val="single" w:color="auto"/>
          <w:color w:val="auto"/>
        </w:rPr>
        <w:t>Joint Filing Agreement Pursuant to Rule 13d-1</w:t>
      </w:r>
    </w:p>
    <w:p>
      <w:pPr>
        <w:spacing w:after="0" w:line="229" w:lineRule="exact"/>
        <w:rPr>
          <w:sz w:val="20"/>
          <w:szCs w:val="20"/>
          <w:color w:val="auto"/>
        </w:rPr>
      </w:pPr>
    </w:p>
    <w:p>
      <w:pPr>
        <w:spacing w:after="0" w:line="257" w:lineRule="auto"/>
        <w:rPr>
          <w:sz w:val="20"/>
          <w:szCs w:val="20"/>
          <w:color w:val="auto"/>
        </w:rPr>
      </w:pPr>
      <w:r>
        <w:rPr>
          <w:rFonts w:ascii="Arial" w:cs="Arial" w:eastAsia="Arial" w:hAnsi="Arial"/>
          <w:sz w:val="18"/>
          <w:szCs w:val="18"/>
          <w:color w:val="auto"/>
        </w:rPr>
        <w:t>This agreement is made pursuant to Rule 13d-1(b)(ii)(J) and Rule 13d-1(k)(1) under the Securities and Exchange Act of 1934 (the “Act”) by and among the parties listed below, each referred to herein as a “Joint Filer.” The Joint Filers agree that a statement of beneficial ownership as required by Sections 13(g) or 13(d) of the Act and the Rules thereunder may be filed on each of their behalf on Schedule 13G or Schedule 13D, as appropriate, and that said joint filing may thereafter be amended by further joint filings. The Joint Filers state that they each satisfy the requirements for making a joint filing under Rule 13d-1.</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Dated: January 7, 2021</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BRANDES INVESTMENT PARTNERS, L.P.</w:t>
      </w:r>
    </w:p>
    <w:p>
      <w:pPr>
        <w:spacing w:after="0" w:line="211"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By: /s/ Glenn Carlson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14605</wp:posOffset>
            </wp:positionV>
            <wp:extent cx="3351530" cy="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3351530" cy="8255"/>
                    </a:xfrm>
                    <a:prstGeom prst="rect">
                      <a:avLst/>
                    </a:prstGeom>
                    <a:noFill/>
                  </pic:spPr>
                </pic:pic>
              </a:graphicData>
            </a:graphic>
          </wp:anchor>
        </w:drawing>
      </w:r>
    </w:p>
    <w:p>
      <w:pPr>
        <w:spacing w:after="0" w:line="3" w:lineRule="exact"/>
        <w:rPr>
          <w:sz w:val="20"/>
          <w:szCs w:val="20"/>
          <w:color w:val="auto"/>
        </w:rPr>
      </w:pPr>
    </w:p>
    <w:p>
      <w:pPr>
        <w:ind w:left="5960"/>
        <w:spacing w:after="0"/>
        <w:rPr>
          <w:sz w:val="20"/>
          <w:szCs w:val="20"/>
          <w:color w:val="auto"/>
        </w:rPr>
      </w:pPr>
      <w:r>
        <w:rPr>
          <w:rFonts w:ascii="Arial" w:cs="Arial" w:eastAsia="Arial" w:hAnsi="Arial"/>
          <w:sz w:val="18"/>
          <w:szCs w:val="18"/>
          <w:color w:val="auto"/>
        </w:rPr>
        <w:t>Glenn Carlson, General Partner of Co-GP, LLC.</w:t>
      </w:r>
    </w:p>
    <w:p>
      <w:pPr>
        <w:spacing w:after="0" w:line="200" w:lineRule="exact"/>
        <w:rPr>
          <w:sz w:val="20"/>
          <w:szCs w:val="20"/>
          <w:color w:val="auto"/>
        </w:rPr>
      </w:pPr>
    </w:p>
    <w:p>
      <w:pPr>
        <w:spacing w:after="0" w:line="254"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Co-GP, LLC.</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By: /s/ Glenn Carlson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14605</wp:posOffset>
            </wp:positionV>
            <wp:extent cx="3351530" cy="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3351530" cy="8255"/>
                    </a:xfrm>
                    <a:prstGeom prst="rect">
                      <a:avLst/>
                    </a:prstGeom>
                    <a:noFill/>
                  </pic:spPr>
                </pic:pic>
              </a:graphicData>
            </a:graphic>
          </wp:anchor>
        </w:drawing>
      </w:r>
    </w:p>
    <w:p>
      <w:pPr>
        <w:spacing w:after="0" w:line="3" w:lineRule="exact"/>
        <w:rPr>
          <w:sz w:val="20"/>
          <w:szCs w:val="20"/>
          <w:color w:val="auto"/>
        </w:rPr>
      </w:pPr>
    </w:p>
    <w:p>
      <w:pPr>
        <w:ind w:left="5960"/>
        <w:spacing w:after="0"/>
        <w:rPr>
          <w:sz w:val="20"/>
          <w:szCs w:val="20"/>
          <w:color w:val="auto"/>
        </w:rPr>
      </w:pPr>
      <w:r>
        <w:rPr>
          <w:rFonts w:ascii="Arial" w:cs="Arial" w:eastAsia="Arial" w:hAnsi="Arial"/>
          <w:sz w:val="18"/>
          <w:szCs w:val="18"/>
          <w:color w:val="auto"/>
        </w:rPr>
        <w:t>Glenn Carlson, General Partner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451485</wp:posOffset>
            </wp:positionV>
            <wp:extent cx="7132320" cy="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92" w:right="339" w:bottom="1440" w:gutter="0" w:footer="0" w:header="0"/>
        </w:sectPr>
      </w:pPr>
    </w:p>
    <w:bookmarkStart w:id="10" w:name="page11"/>
    <w:bookmarkEnd w:id="10"/>
    <w:p>
      <w:pPr>
        <w:jc w:val="right"/>
        <w:spacing w:after="0"/>
        <w:rPr>
          <w:sz w:val="20"/>
          <w:szCs w:val="20"/>
          <w:color w:val="auto"/>
        </w:rPr>
      </w:pPr>
      <w:r>
        <w:rPr>
          <w:rFonts w:ascii="Arial" w:cs="Arial" w:eastAsia="Arial" w:hAnsi="Arial"/>
          <w:sz w:val="18"/>
          <w:szCs w:val="18"/>
          <w:color w:val="auto"/>
        </w:rPr>
        <w:t>Page 11 of 12</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C</w:t>
      </w:r>
    </w:p>
    <w:p>
      <w:pPr>
        <w:spacing w:after="0" w:line="22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Power of Attorney for Schedules 13D, 13G and Form 13F</w:t>
      </w:r>
    </w:p>
    <w:p>
      <w:pPr>
        <w:spacing w:after="0" w:line="229" w:lineRule="exact"/>
        <w:rPr>
          <w:sz w:val="20"/>
          <w:szCs w:val="20"/>
          <w:color w:val="auto"/>
        </w:rPr>
      </w:pPr>
    </w:p>
    <w:p>
      <w:pPr>
        <w:ind w:right="20"/>
        <w:spacing w:after="0" w:line="290" w:lineRule="auto"/>
        <w:rPr>
          <w:sz w:val="20"/>
          <w:szCs w:val="20"/>
          <w:color w:val="auto"/>
        </w:rPr>
      </w:pPr>
      <w:r>
        <w:rPr>
          <w:rFonts w:ascii="Arial" w:cs="Arial" w:eastAsia="Arial" w:hAnsi="Arial"/>
          <w:sz w:val="16"/>
          <w:szCs w:val="16"/>
          <w:color w:val="auto"/>
        </w:rPr>
        <w:t>I, Glenn Carlson, as member of Co-GP of LLC., which is a General Partner of Brandes Worldwide Holdings, L.P., and which is also the limited partner of Brandes Investment Partners, L.P., hereby appoint Ian N. Rose as attorney-in-fact and agent, in all capacities, to execute, on my behalf and on behalf of Co-GP LLC., Brandes Investment Partners, L.P., and Brandes Worldwide Holdings, L.P., to file with the appropriate issuers, exchanges and regulatory authorities, any and all Schedules 13D, 13G and Form 13F and documents relating thereto required to be filed under the Securities and Exchange Act of 1934, including exhibits, attachments and amendments thereto and request for confidential treatment of information contained therein in connection with my being a “control person” (as contemplated for purposes of Schedule 13D, 13G and Form 13F) of Brandes Investment Partners, L.P., its subsidiaries and affiliates. I hereby grant to said attorneys-in-fact full authority to do every act necessary to be done in order to effectuate the same as fully, to all intents and purposes, as I could if personally present, thereby ratifying all that said attorneys-in-fact and agents may lawfully do or cause to be done by virtue hereof.</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color w:val="auto"/>
        </w:rPr>
        <w:t>I hereby execute this Power of Attorney as of this 7th day of January 2021.</w:t>
      </w:r>
    </w:p>
    <w:p>
      <w:pPr>
        <w:spacing w:after="0" w:line="225"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/s/Glenn Carlson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3571240</wp:posOffset>
            </wp:positionH>
            <wp:positionV relativeFrom="paragraph">
              <wp:posOffset>14605</wp:posOffset>
            </wp:positionV>
            <wp:extent cx="3566160" cy="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3566160" cy="8255"/>
                    </a:xfrm>
                    <a:prstGeom prst="rect">
                      <a:avLst/>
                    </a:prstGeom>
                    <a:noFill/>
                  </pic:spPr>
                </pic:pic>
              </a:graphicData>
            </a:graphic>
          </wp:anchor>
        </w:drawing>
      </w:r>
    </w:p>
    <w:p>
      <w:pPr>
        <w:spacing w:after="0" w:line="3"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Glenn Carlson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443230</wp:posOffset>
            </wp:positionV>
            <wp:extent cx="7132320" cy="825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92" w:right="339" w:bottom="1440" w:gutter="0" w:footer="0" w:header="0"/>
        </w:sectPr>
      </w:pPr>
    </w:p>
    <w:bookmarkStart w:id="11" w:name="page12"/>
    <w:bookmarkEnd w:id="11"/>
    <w:p>
      <w:pPr>
        <w:jc w:val="right"/>
        <w:spacing w:after="0"/>
        <w:rPr>
          <w:sz w:val="20"/>
          <w:szCs w:val="20"/>
          <w:color w:val="auto"/>
        </w:rPr>
      </w:pPr>
      <w:r>
        <w:rPr>
          <w:rFonts w:ascii="Arial" w:cs="Arial" w:eastAsia="Arial" w:hAnsi="Arial"/>
          <w:sz w:val="18"/>
          <w:szCs w:val="18"/>
          <w:color w:val="auto"/>
        </w:rPr>
        <w:t>Page 12 of 12</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D</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Disclaimer of Beneficial Ownership</w:t>
      </w:r>
    </w:p>
    <w:p>
      <w:pPr>
        <w:spacing w:after="0" w:line="225" w:lineRule="exact"/>
        <w:rPr>
          <w:sz w:val="20"/>
          <w:szCs w:val="20"/>
          <w:color w:val="auto"/>
        </w:rPr>
      </w:pPr>
    </w:p>
    <w:p>
      <w:pPr>
        <w:jc w:val="both"/>
        <w:ind w:right="220"/>
        <w:spacing w:after="0" w:line="263" w:lineRule="auto"/>
        <w:rPr>
          <w:sz w:val="20"/>
          <w:szCs w:val="20"/>
          <w:color w:val="auto"/>
        </w:rPr>
      </w:pPr>
      <w:r>
        <w:rPr>
          <w:rFonts w:ascii="Arial" w:cs="Arial" w:eastAsia="Arial" w:hAnsi="Arial"/>
          <w:sz w:val="18"/>
          <w:szCs w:val="18"/>
          <w:color w:val="auto"/>
        </w:rPr>
        <w:t>Co-GP, LLC, Brandes Worldwide Holdings, L.P., Glenn Carlson, and Jeff Busby disclaim beneficial interest as to the shares referenced above, except for an amount equal to substantially less than one percent of the shares reported on this Schedule 13D. None of these entities or individuals holds the above-referenced shares for its/his own account except on a de minimis basis.</w:t>
      </w:r>
    </w:p>
    <w:p>
      <w:pPr>
        <w:spacing w:after="0" w:line="184"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/s/Glenn Carlson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3571240</wp:posOffset>
            </wp:positionH>
            <wp:positionV relativeFrom="paragraph">
              <wp:posOffset>14605</wp:posOffset>
            </wp:positionV>
            <wp:extent cx="3566160" cy="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3566160" cy="8255"/>
                    </a:xfrm>
                    <a:prstGeom prst="rect">
                      <a:avLst/>
                    </a:prstGeom>
                    <a:noFill/>
                  </pic:spPr>
                </pic:pic>
              </a:graphicData>
            </a:graphic>
          </wp:anchor>
        </w:drawing>
      </w:r>
    </w:p>
    <w:p>
      <w:pPr>
        <w:spacing w:after="0" w:line="3"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Glenn Carlson</w:t>
      </w:r>
    </w:p>
    <w:p>
      <w:pPr>
        <w:spacing w:after="0" w:line="224"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/s/Jeff Busby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3571240</wp:posOffset>
            </wp:positionH>
            <wp:positionV relativeFrom="paragraph">
              <wp:posOffset>14605</wp:posOffset>
            </wp:positionV>
            <wp:extent cx="356616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3566160" cy="8890"/>
                    </a:xfrm>
                    <a:prstGeom prst="rect">
                      <a:avLst/>
                    </a:prstGeom>
                    <a:noFill/>
                  </pic:spPr>
                </pic:pic>
              </a:graphicData>
            </a:graphic>
          </wp:anchor>
        </w:drawing>
      </w:r>
    </w:p>
    <w:p>
      <w:pPr>
        <w:spacing w:after="0" w:line="3"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Jeff Busby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443230</wp:posOffset>
            </wp:positionV>
            <wp:extent cx="7132320" cy="825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692"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515F007C"/>
    <w:multiLevelType w:val="hybridMultilevel"/>
    <w:lvl w:ilvl="0">
      <w:lvlJc w:val="left"/>
      <w:lvlText w:val="☒"/>
      <w:numFmt w:val="bullet"/>
      <w:start w:val="1"/>
    </w:lvl>
  </w:abstractNum>
  <w:abstractNum w:abstractNumId="1">
    <w:nsid w:val="5BD062C2"/>
    <w:multiLevelType w:val="hybridMultilevel"/>
    <w:lvl w:ilvl="0">
      <w:lvlJc w:val="left"/>
      <w:lvlText w:val="*"/>
      <w:numFmt w:val="bullet"/>
      <w:start w:val="1"/>
    </w:lvl>
    <w:lvl w:ilvl="1">
      <w:lvlJc w:val="left"/>
      <w:lvlText w:val="☐"/>
      <w:numFmt w:val="bullet"/>
      <w:start w:val="1"/>
    </w:lvl>
  </w:abstractNum>
  <w:abstractNum w:abstractNumId="2">
    <w:nsid w:val="12200854"/>
    <w:multiLevelType w:val="hybridMultilevel"/>
    <w:lvl w:ilvl="0">
      <w:lvlJc w:val="left"/>
      <w:lvlText w:val="%1."/>
      <w:numFmt w:val="decimal"/>
      <w:start w:val="2"/>
    </w:lvl>
    <w:lvl w:ilvl="1">
      <w:lvlJc w:val="left"/>
      <w:lvlText w:val="(%2)"/>
      <w:numFmt w:val="lowerLetter"/>
      <w:start w:val="1"/>
    </w:lvl>
  </w:abstractNum>
  <w:abstractNum w:abstractNumId="3">
    <w:nsid w:val="4DB127F8"/>
    <w:multiLevelType w:val="hybridMultilevel"/>
    <w:lvl w:ilvl="0">
      <w:lvlJc w:val="left"/>
      <w:lvlText w:val="%1."/>
      <w:numFmt w:val="decimal"/>
      <w:start w:val="10"/>
    </w:lvl>
  </w:abstractNum>
  <w:abstractNum w:abstractNumId="4">
    <w:nsid w:val="216231B"/>
    <w:multiLevelType w:val="hybridMultilevel"/>
    <w:lvl w:ilvl="0">
      <w:lvlJc w:val="left"/>
      <w:lvlText w:val="%1."/>
      <w:numFmt w:val="decimal"/>
      <w:start w:val="2"/>
    </w:lvl>
    <w:lvl w:ilvl="1">
      <w:lvlJc w:val="left"/>
      <w:lvlText w:val="(%2)"/>
      <w:numFmt w:val="lowerLetter"/>
      <w:start w:val="1"/>
    </w:lvl>
  </w:abstractNum>
  <w:abstractNum w:abstractNumId="5">
    <w:nsid w:val="1F16E9E8"/>
    <w:multiLevelType w:val="hybridMultilevel"/>
    <w:lvl w:ilvl="0">
      <w:lvlJc w:val="left"/>
      <w:lvlText w:val="%1."/>
      <w:numFmt w:val="decimal"/>
      <w:start w:val="10"/>
    </w:lvl>
  </w:abstractNum>
  <w:abstractNum w:abstractNumId="6">
    <w:nsid w:val="1190CDE7"/>
    <w:multiLevelType w:val="hybridMultilevel"/>
    <w:lvl w:ilvl="0">
      <w:lvlJc w:val="left"/>
      <w:lvlText w:val="%1."/>
      <w:numFmt w:val="decimal"/>
      <w:start w:val="2"/>
    </w:lvl>
    <w:lvl w:ilvl="1">
      <w:lvlJc w:val="left"/>
      <w:lvlText w:val="(%2)"/>
      <w:numFmt w:val="lowerLetter"/>
      <w:start w:val="1"/>
    </w:lvl>
  </w:abstractNum>
  <w:abstractNum w:abstractNumId="7">
    <w:nsid w:val="66EF438D"/>
    <w:multiLevelType w:val="hybridMultilevel"/>
    <w:lvl w:ilvl="0">
      <w:lvlJc w:val="left"/>
      <w:lvlText w:val="%1."/>
      <w:numFmt w:val="decimal"/>
      <w:start w:val="10"/>
    </w:lvl>
  </w:abstractNum>
  <w:abstractNum w:abstractNumId="8">
    <w:nsid w:val="140E0F76"/>
    <w:multiLevelType w:val="hybridMultilevel"/>
    <w:lvl w:ilvl="0">
      <w:lvlJc w:val="left"/>
      <w:lvlText w:val="%1."/>
      <w:numFmt w:val="decimal"/>
      <w:start w:val="2"/>
    </w:lvl>
    <w:lvl w:ilvl="1">
      <w:lvlJc w:val="left"/>
      <w:lvlText w:val="(%2)"/>
      <w:numFmt w:val="lowerLetter"/>
      <w:start w:val="1"/>
    </w:lvl>
  </w:abstractNum>
  <w:abstractNum w:abstractNumId="9">
    <w:nsid w:val="3352255A"/>
    <w:multiLevelType w:val="hybridMultilevel"/>
    <w:lvl w:ilvl="0">
      <w:lvlJc w:val="left"/>
      <w:lvlText w:val="%1."/>
      <w:numFmt w:val="decimal"/>
      <w:start w:val="10"/>
    </w:lvl>
  </w:abstractNum>
  <w:abstractNum w:abstractNumId="10">
    <w:nsid w:val="109CF92E"/>
    <w:multiLevelType w:val="hybridMultilevel"/>
    <w:lvl w:ilvl="0">
      <w:lvlJc w:val="left"/>
      <w:lvlText w:val="(%1)"/>
      <w:numFmt w:val="lowerRoman"/>
      <w:start w:val="1"/>
    </w:lvl>
  </w:abstractNum>
  <w:abstractNum w:abstractNumId="11">
    <w:nsid w:val="DED7263"/>
    <w:multiLevelType w:val="hybridMultilevel"/>
    <w:lvl w:ilvl="0">
      <w:lvlJc w:val="left"/>
      <w:lvlText w:val="(%1)"/>
      <w:numFmt w:val="lowerRoman"/>
      <w:start w:val="1"/>
    </w:lvl>
  </w:abstractNum>
  <w:abstractNum w:abstractNumId="12">
    <w:nsid w:val="7FDCC233"/>
    <w:multiLevelType w:val="hybridMultilevel"/>
    <w:lvl w:ilvl="0">
      <w:lvlJc w:val="left"/>
      <w:lvlText w:val="(%1)"/>
      <w:numFmt w:val="lowerRoman"/>
      <w:start w:val="1"/>
    </w:lvl>
  </w:abstractNum>
  <w:abstractNum w:abstractNumId="13">
    <w:nsid w:val="1BEFD79F"/>
    <w:multiLevelType w:val="hybridMultilevel"/>
    <w:lvl w:ilvl="0">
      <w:lvlJc w:val="left"/>
      <w:lvlText w:val="(%1)"/>
      <w:numFmt w:val="lowerLetter"/>
      <w:start w:val="1"/>
    </w:lvl>
  </w:abstractNum>
  <w:abstractNum w:abstractNumId="14">
    <w:nsid w:val="41A7C4C9"/>
    <w:multiLevelType w:val="hybridMultilevel"/>
    <w:lvl w:ilvl="0">
      <w:lvlJc w:val="left"/>
      <w:lvlText w:val="(%1)"/>
      <w:numFmt w:val="lowerLetter"/>
      <w:start w:val="1"/>
    </w:lvl>
    <w:lvl w:ilvl="1">
      <w:lvlJc w:val="left"/>
      <w:lvlText w:val="(%2)"/>
      <w:numFmt w:val="lowerRoman"/>
      <w:start w:val="1"/>
    </w:lvl>
  </w:abstractNum>
  <w:abstractNum w:abstractNumId="15">
    <w:nsid w:val="6B68079A"/>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2021-01-07T15:08:28Z</dcterms:created>
  <dcterms:modified xsi:type="dcterms:W3CDTF">2021-01-07T15:08:28Z</dcterms:modified>
</cp:coreProperties>
</file>